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F1" w:rsidRDefault="0086282D" w:rsidP="008B6D2E">
      <w:pPr>
        <w:jc w:val="right"/>
        <w:rPr>
          <w:color w:val="31849B" w:themeColor="accent5" w:themeShade="BF"/>
          <w:sz w:val="28"/>
          <w:szCs w:val="28"/>
          <w:u w:val="single"/>
          <w:lang w:val="en-US"/>
        </w:rPr>
      </w:pPr>
      <w:r>
        <w:rPr>
          <w:noProof/>
          <w:lang w:eastAsia="en-ZA"/>
        </w:rPr>
        <w:drawing>
          <wp:inline distT="0" distB="0" distL="0" distR="0" wp14:anchorId="6367E4F9" wp14:editId="23C802A5">
            <wp:extent cx="2048256" cy="1066800"/>
            <wp:effectExtent l="0" t="0" r="9525" b="0"/>
            <wp:docPr id="1" name="Picture 1" descr="cid:image001.jpg@01D0025D.8AB66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025D.8AB66E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48256" cy="1066800"/>
                    </a:xfrm>
                    <a:prstGeom prst="rect">
                      <a:avLst/>
                    </a:prstGeom>
                    <a:noFill/>
                    <a:ln>
                      <a:noFill/>
                    </a:ln>
                  </pic:spPr>
                </pic:pic>
              </a:graphicData>
            </a:graphic>
          </wp:inline>
        </w:drawing>
      </w:r>
    </w:p>
    <w:p w:rsidR="0086282D" w:rsidRPr="00E1263E" w:rsidRDefault="0086282D" w:rsidP="0086282D">
      <w:pPr>
        <w:rPr>
          <w:b/>
          <w:color w:val="31849B" w:themeColor="accent5" w:themeShade="BF"/>
          <w:lang w:val="en-US"/>
        </w:rPr>
      </w:pPr>
      <w:r>
        <w:rPr>
          <w:b/>
          <w:color w:val="31849B" w:themeColor="accent5" w:themeShade="BF"/>
          <w:lang w:val="en-US"/>
        </w:rPr>
        <w:t>Poster Abstract: P4</w:t>
      </w:r>
    </w:p>
    <w:p w:rsidR="001934F1" w:rsidRPr="003B0C3C" w:rsidRDefault="001934F1" w:rsidP="003B0C3C">
      <w:pPr>
        <w:spacing w:after="0"/>
        <w:rPr>
          <w:b/>
          <w:bCs/>
          <w:sz w:val="20"/>
          <w:szCs w:val="20"/>
        </w:rPr>
      </w:pPr>
      <w:r w:rsidRPr="003B0C3C">
        <w:rPr>
          <w:b/>
          <w:color w:val="31849B" w:themeColor="accent5" w:themeShade="BF"/>
          <w:sz w:val="20"/>
          <w:szCs w:val="20"/>
          <w:lang w:val="en-US"/>
        </w:rPr>
        <w:t>Title:</w:t>
      </w:r>
      <w:r w:rsidRPr="003B0C3C">
        <w:rPr>
          <w:b/>
          <w:bCs/>
          <w:sz w:val="20"/>
          <w:szCs w:val="20"/>
        </w:rPr>
        <w:t xml:space="preserve"> </w:t>
      </w:r>
    </w:p>
    <w:p w:rsidR="004D19AD" w:rsidRDefault="004D19AD" w:rsidP="004D19AD">
      <w:pPr>
        <w:rPr>
          <w:b/>
          <w:color w:val="31849B" w:themeColor="accent5" w:themeShade="BF"/>
          <w:sz w:val="20"/>
          <w:szCs w:val="20"/>
          <w:lang w:val="en-US"/>
        </w:rPr>
      </w:pPr>
      <w:r w:rsidRPr="0086282D">
        <w:rPr>
          <w:b/>
          <w:sz w:val="20"/>
          <w:szCs w:val="20"/>
        </w:rPr>
        <w:t>Improving antimicrobial surgical prophylaxis in a highly specialized surgical environment serving solid organ transplant and oncology patients</w:t>
      </w:r>
      <w:r w:rsidRPr="0086282D">
        <w:rPr>
          <w:b/>
          <w:color w:val="31849B" w:themeColor="accent5" w:themeShade="BF"/>
          <w:sz w:val="20"/>
          <w:szCs w:val="20"/>
          <w:lang w:val="en-US"/>
        </w:rPr>
        <w:t xml:space="preserve"> </w:t>
      </w:r>
    </w:p>
    <w:p w:rsidR="0086282D" w:rsidRPr="0086282D" w:rsidRDefault="0086282D" w:rsidP="004D19AD">
      <w:pPr>
        <w:rPr>
          <w:b/>
          <w:color w:val="31849B" w:themeColor="accent5" w:themeShade="BF"/>
          <w:sz w:val="20"/>
          <w:szCs w:val="20"/>
          <w:lang w:val="en-US"/>
        </w:rPr>
      </w:pPr>
    </w:p>
    <w:p w:rsidR="008B6D2E" w:rsidRDefault="001934F1" w:rsidP="004D19AD">
      <w:pPr>
        <w:spacing w:after="0"/>
        <w:rPr>
          <w:b/>
          <w:color w:val="31849B" w:themeColor="accent5" w:themeShade="BF"/>
          <w:sz w:val="20"/>
          <w:szCs w:val="20"/>
          <w:lang w:val="en-US"/>
        </w:rPr>
      </w:pPr>
      <w:r w:rsidRPr="003B0C3C">
        <w:rPr>
          <w:b/>
          <w:color w:val="31849B" w:themeColor="accent5" w:themeShade="BF"/>
          <w:sz w:val="20"/>
          <w:szCs w:val="20"/>
          <w:lang w:val="en-US"/>
        </w:rPr>
        <w:t>Author</w:t>
      </w:r>
      <w:r w:rsidR="0086282D">
        <w:rPr>
          <w:b/>
          <w:color w:val="31849B" w:themeColor="accent5" w:themeShade="BF"/>
          <w:sz w:val="20"/>
          <w:szCs w:val="20"/>
          <w:lang w:val="en-US"/>
        </w:rPr>
        <w:t>s</w:t>
      </w:r>
      <w:r w:rsidRPr="003B0C3C">
        <w:rPr>
          <w:b/>
          <w:color w:val="31849B" w:themeColor="accent5" w:themeShade="BF"/>
          <w:sz w:val="20"/>
          <w:szCs w:val="20"/>
          <w:lang w:val="en-US"/>
        </w:rPr>
        <w:t>:</w:t>
      </w:r>
      <w:r w:rsidR="008B6D2E">
        <w:rPr>
          <w:b/>
          <w:color w:val="31849B" w:themeColor="accent5" w:themeShade="BF"/>
          <w:sz w:val="20"/>
          <w:szCs w:val="20"/>
          <w:lang w:val="en-US"/>
        </w:rPr>
        <w:t xml:space="preserve"> </w:t>
      </w:r>
    </w:p>
    <w:p w:rsidR="004D19AD" w:rsidRPr="003B0C3C" w:rsidRDefault="004D19AD" w:rsidP="004D19AD">
      <w:pPr>
        <w:spacing w:after="0"/>
        <w:rPr>
          <w:b/>
          <w:color w:val="31849B" w:themeColor="accent5" w:themeShade="BF"/>
          <w:sz w:val="20"/>
          <w:szCs w:val="20"/>
          <w:lang w:val="en-US"/>
        </w:rPr>
      </w:pPr>
      <w:r w:rsidRPr="003B0C3C">
        <w:rPr>
          <w:sz w:val="20"/>
          <w:szCs w:val="20"/>
        </w:rPr>
        <w:t xml:space="preserve">Estella L </w:t>
      </w:r>
      <w:proofErr w:type="spellStart"/>
      <w:r w:rsidRPr="003B0C3C">
        <w:rPr>
          <w:sz w:val="20"/>
          <w:szCs w:val="20"/>
        </w:rPr>
        <w:t>Minnaar</w:t>
      </w:r>
      <w:proofErr w:type="spellEnd"/>
      <w:r w:rsidRPr="003B0C3C">
        <w:rPr>
          <w:sz w:val="20"/>
          <w:szCs w:val="20"/>
        </w:rPr>
        <w:t xml:space="preserve"> (1), Dr Warren Lowman (1</w:t>
      </w:r>
      <w:proofErr w:type="gramStart"/>
      <w:r w:rsidRPr="003B0C3C">
        <w:rPr>
          <w:sz w:val="20"/>
          <w:szCs w:val="20"/>
        </w:rPr>
        <w:t>,3</w:t>
      </w:r>
      <w:proofErr w:type="gramEnd"/>
      <w:r w:rsidRPr="003B0C3C">
        <w:rPr>
          <w:sz w:val="20"/>
          <w:szCs w:val="20"/>
        </w:rPr>
        <w:t xml:space="preserve">), Ronel Senekal (1), </w:t>
      </w:r>
      <w:proofErr w:type="spellStart"/>
      <w:r w:rsidRPr="003B0C3C">
        <w:rPr>
          <w:sz w:val="20"/>
          <w:szCs w:val="20"/>
        </w:rPr>
        <w:t>Andriette</w:t>
      </w:r>
      <w:proofErr w:type="spellEnd"/>
      <w:r w:rsidRPr="003B0C3C">
        <w:rPr>
          <w:sz w:val="20"/>
          <w:szCs w:val="20"/>
        </w:rPr>
        <w:t xml:space="preserve"> Van Jaarsveld (2)</w:t>
      </w:r>
    </w:p>
    <w:p w:rsidR="004D19AD" w:rsidRPr="003B0C3C" w:rsidRDefault="004D19AD" w:rsidP="004D19AD">
      <w:pPr>
        <w:pStyle w:val="graycopybullets"/>
        <w:numPr>
          <w:ilvl w:val="0"/>
          <w:numId w:val="1"/>
        </w:numPr>
        <w:spacing w:line="240" w:lineRule="auto"/>
        <w:rPr>
          <w:rFonts w:asciiTheme="minorHAnsi" w:eastAsiaTheme="minorHAnsi" w:hAnsiTheme="minorHAnsi" w:cstheme="minorBidi"/>
          <w:color w:val="auto"/>
          <w:spacing w:val="0"/>
          <w:sz w:val="20"/>
          <w:szCs w:val="20"/>
          <w:lang w:val="en-ZA"/>
        </w:rPr>
      </w:pPr>
      <w:r w:rsidRPr="003B0C3C">
        <w:rPr>
          <w:rFonts w:asciiTheme="minorHAnsi" w:eastAsiaTheme="minorHAnsi" w:hAnsiTheme="minorHAnsi" w:cstheme="minorBidi"/>
          <w:color w:val="auto"/>
          <w:spacing w:val="0"/>
          <w:sz w:val="20"/>
          <w:szCs w:val="20"/>
          <w:lang w:val="en-ZA"/>
        </w:rPr>
        <w:t>Wits Donald Gordon Medical Centre</w:t>
      </w:r>
      <w:r w:rsidR="0086282D">
        <w:rPr>
          <w:rFonts w:asciiTheme="minorHAnsi" w:eastAsiaTheme="minorHAnsi" w:hAnsiTheme="minorHAnsi" w:cstheme="minorBidi"/>
          <w:color w:val="auto"/>
          <w:spacing w:val="0"/>
          <w:sz w:val="20"/>
          <w:szCs w:val="20"/>
          <w:lang w:val="en-ZA"/>
        </w:rPr>
        <w:t xml:space="preserve">; </w:t>
      </w:r>
    </w:p>
    <w:p w:rsidR="004D19AD" w:rsidRPr="003B0C3C" w:rsidRDefault="004D19AD" w:rsidP="004D19AD">
      <w:pPr>
        <w:pStyle w:val="graycopybullets"/>
        <w:numPr>
          <w:ilvl w:val="0"/>
          <w:numId w:val="1"/>
        </w:numPr>
        <w:spacing w:line="240" w:lineRule="auto"/>
        <w:rPr>
          <w:rFonts w:asciiTheme="minorHAnsi" w:eastAsiaTheme="minorHAnsi" w:hAnsiTheme="minorHAnsi" w:cstheme="minorBidi"/>
          <w:color w:val="auto"/>
          <w:spacing w:val="0"/>
          <w:sz w:val="20"/>
          <w:szCs w:val="20"/>
          <w:lang w:val="en-ZA"/>
        </w:rPr>
      </w:pPr>
      <w:proofErr w:type="spellStart"/>
      <w:r w:rsidRPr="003B0C3C">
        <w:rPr>
          <w:rFonts w:asciiTheme="minorHAnsi" w:eastAsiaTheme="minorHAnsi" w:hAnsiTheme="minorHAnsi" w:cstheme="minorBidi"/>
          <w:color w:val="auto"/>
          <w:spacing w:val="0"/>
          <w:sz w:val="20"/>
          <w:szCs w:val="20"/>
          <w:lang w:val="en-ZA"/>
        </w:rPr>
        <w:t>Mediclinic</w:t>
      </w:r>
      <w:proofErr w:type="spellEnd"/>
      <w:r w:rsidRPr="003B0C3C">
        <w:rPr>
          <w:rFonts w:asciiTheme="minorHAnsi" w:eastAsiaTheme="minorHAnsi" w:hAnsiTheme="minorHAnsi" w:cstheme="minorBidi"/>
          <w:color w:val="auto"/>
          <w:spacing w:val="0"/>
          <w:sz w:val="20"/>
          <w:szCs w:val="20"/>
          <w:lang w:val="en-ZA"/>
        </w:rPr>
        <w:t xml:space="preserve"> Southern Africa</w:t>
      </w:r>
    </w:p>
    <w:p w:rsidR="001934F1" w:rsidRPr="003B0C3C" w:rsidRDefault="004D19AD" w:rsidP="004D19AD">
      <w:pPr>
        <w:pStyle w:val="ListParagraph"/>
        <w:numPr>
          <w:ilvl w:val="0"/>
          <w:numId w:val="1"/>
        </w:numPr>
        <w:rPr>
          <w:b/>
          <w:bCs/>
          <w:noProof/>
          <w:sz w:val="20"/>
          <w:szCs w:val="20"/>
        </w:rPr>
      </w:pPr>
      <w:proofErr w:type="spellStart"/>
      <w:r w:rsidRPr="003B0C3C">
        <w:rPr>
          <w:sz w:val="20"/>
          <w:szCs w:val="20"/>
        </w:rPr>
        <w:t>Vermaak</w:t>
      </w:r>
      <w:proofErr w:type="spellEnd"/>
      <w:r w:rsidRPr="003B0C3C">
        <w:rPr>
          <w:sz w:val="20"/>
          <w:szCs w:val="20"/>
        </w:rPr>
        <w:t xml:space="preserve"> &amp; Partners/ </w:t>
      </w:r>
      <w:proofErr w:type="spellStart"/>
      <w:r w:rsidRPr="003B0C3C">
        <w:rPr>
          <w:sz w:val="20"/>
          <w:szCs w:val="20"/>
        </w:rPr>
        <w:t>Pathlink</w:t>
      </w:r>
      <w:proofErr w:type="spellEnd"/>
      <w:r w:rsidRPr="003B0C3C">
        <w:rPr>
          <w:sz w:val="20"/>
          <w:szCs w:val="20"/>
        </w:rPr>
        <w:t xml:space="preserve"> Laboratories</w:t>
      </w:r>
    </w:p>
    <w:p w:rsidR="001934F1" w:rsidRPr="003B0C3C" w:rsidRDefault="001934F1" w:rsidP="003B0C3C">
      <w:pPr>
        <w:spacing w:after="0"/>
        <w:rPr>
          <w:b/>
          <w:bCs/>
          <w:noProof/>
          <w:color w:val="31849B" w:themeColor="accent5" w:themeShade="BF"/>
          <w:sz w:val="20"/>
          <w:szCs w:val="20"/>
        </w:rPr>
      </w:pPr>
      <w:r w:rsidRPr="003B0C3C">
        <w:rPr>
          <w:b/>
          <w:bCs/>
          <w:noProof/>
          <w:color w:val="31849B" w:themeColor="accent5" w:themeShade="BF"/>
          <w:sz w:val="20"/>
          <w:szCs w:val="20"/>
        </w:rPr>
        <w:t xml:space="preserve">Aim: </w:t>
      </w:r>
    </w:p>
    <w:p w:rsidR="001934F1" w:rsidRPr="003B0C3C" w:rsidRDefault="004D19AD">
      <w:pPr>
        <w:rPr>
          <w:bCs/>
          <w:sz w:val="20"/>
          <w:szCs w:val="20"/>
        </w:rPr>
      </w:pPr>
      <w:r w:rsidRPr="003B0C3C">
        <w:rPr>
          <w:bCs/>
          <w:sz w:val="20"/>
          <w:szCs w:val="20"/>
        </w:rPr>
        <w:t>Wits Donald Gordon Medical Centre (WDGMC) is a 190 bed private hospital</w:t>
      </w:r>
      <w:r w:rsidR="0086282D">
        <w:rPr>
          <w:bCs/>
          <w:sz w:val="20"/>
          <w:szCs w:val="20"/>
        </w:rPr>
        <w:t xml:space="preserve"> and </w:t>
      </w:r>
      <w:r w:rsidRPr="003B0C3C">
        <w:rPr>
          <w:bCs/>
          <w:sz w:val="20"/>
          <w:szCs w:val="20"/>
        </w:rPr>
        <w:t>serves as a referral centre for complex surgical patients. Surgical site infections (</w:t>
      </w:r>
      <w:proofErr w:type="spellStart"/>
      <w:r w:rsidRPr="003B0C3C">
        <w:rPr>
          <w:bCs/>
          <w:sz w:val="20"/>
          <w:szCs w:val="20"/>
        </w:rPr>
        <w:t>SSis</w:t>
      </w:r>
      <w:proofErr w:type="spellEnd"/>
      <w:r w:rsidRPr="003B0C3C">
        <w:rPr>
          <w:bCs/>
          <w:sz w:val="20"/>
          <w:szCs w:val="20"/>
        </w:rPr>
        <w:t>) are one of the leading causes of morbidity</w:t>
      </w:r>
      <w:r w:rsidRPr="003B0C3C">
        <w:rPr>
          <w:bCs/>
          <w:sz w:val="20"/>
          <w:szCs w:val="20"/>
          <w:vertAlign w:val="superscript"/>
        </w:rPr>
        <w:t>1</w:t>
      </w:r>
      <w:proofErr w:type="gramStart"/>
      <w:r w:rsidRPr="003B0C3C">
        <w:rPr>
          <w:bCs/>
          <w:sz w:val="20"/>
          <w:szCs w:val="20"/>
          <w:vertAlign w:val="superscript"/>
        </w:rPr>
        <w:t>,2</w:t>
      </w:r>
      <w:proofErr w:type="gramEnd"/>
      <w:r w:rsidRPr="003B0C3C">
        <w:rPr>
          <w:bCs/>
          <w:sz w:val="20"/>
          <w:szCs w:val="20"/>
          <w:vertAlign w:val="superscript"/>
        </w:rPr>
        <w:t xml:space="preserve"> </w:t>
      </w:r>
      <w:r w:rsidRPr="003B0C3C">
        <w:rPr>
          <w:bCs/>
          <w:sz w:val="20"/>
          <w:szCs w:val="20"/>
        </w:rPr>
        <w:t>thus we selected antimicrobial surgical prophylaxis as a “low-hanging fruit”</w:t>
      </w:r>
      <w:r w:rsidRPr="003B0C3C">
        <w:rPr>
          <w:bCs/>
          <w:sz w:val="20"/>
          <w:szCs w:val="20"/>
          <w:vertAlign w:val="superscript"/>
        </w:rPr>
        <w:t>3</w:t>
      </w:r>
      <w:r w:rsidRPr="003B0C3C">
        <w:rPr>
          <w:bCs/>
          <w:sz w:val="20"/>
          <w:szCs w:val="20"/>
        </w:rPr>
        <w:t xml:space="preserve"> for our antimicrobial stewardship program. Our aim was to assess and improve on various components of ant</w:t>
      </w:r>
      <w:r w:rsidR="0086282D">
        <w:rPr>
          <w:bCs/>
          <w:sz w:val="20"/>
          <w:szCs w:val="20"/>
        </w:rPr>
        <w:t xml:space="preserve">imicrobial surgical prophylaxis. </w:t>
      </w:r>
    </w:p>
    <w:p w:rsidR="001934F1" w:rsidRPr="003B0C3C" w:rsidRDefault="001934F1" w:rsidP="003B0C3C">
      <w:pPr>
        <w:spacing w:after="0"/>
        <w:rPr>
          <w:b/>
          <w:color w:val="31849B" w:themeColor="accent5" w:themeShade="BF"/>
          <w:sz w:val="20"/>
          <w:szCs w:val="20"/>
          <w:lang w:val="en-US"/>
        </w:rPr>
      </w:pPr>
      <w:r w:rsidRPr="003B0C3C">
        <w:rPr>
          <w:b/>
          <w:color w:val="31849B" w:themeColor="accent5" w:themeShade="BF"/>
          <w:sz w:val="20"/>
          <w:szCs w:val="20"/>
          <w:lang w:val="en-US"/>
        </w:rPr>
        <w:t>Objectives:</w:t>
      </w:r>
    </w:p>
    <w:p w:rsidR="004D19AD" w:rsidRPr="003B0C3C" w:rsidRDefault="004D19AD" w:rsidP="0086282D">
      <w:pPr>
        <w:rPr>
          <w:sz w:val="20"/>
          <w:szCs w:val="20"/>
          <w:lang w:val="en-US"/>
        </w:rPr>
      </w:pPr>
      <w:r w:rsidRPr="0086282D">
        <w:rPr>
          <w:sz w:val="20"/>
          <w:szCs w:val="20"/>
          <w:lang w:val="en-US"/>
        </w:rPr>
        <w:t>To assess current status in terms of appropriateness of choice of antimicrobial agent for surgical prophylaxis and identify problem areas</w:t>
      </w:r>
      <w:r w:rsidR="0086282D">
        <w:rPr>
          <w:sz w:val="20"/>
          <w:szCs w:val="20"/>
          <w:lang w:val="en-US"/>
        </w:rPr>
        <w:t>; t</w:t>
      </w:r>
      <w:r w:rsidRPr="003B0C3C">
        <w:rPr>
          <w:sz w:val="20"/>
          <w:szCs w:val="20"/>
          <w:lang w:val="en-US"/>
        </w:rPr>
        <w:t>o improve antimicrobial selection and compliance with guidelines</w:t>
      </w:r>
      <w:r w:rsidR="0086282D">
        <w:rPr>
          <w:sz w:val="20"/>
          <w:szCs w:val="20"/>
          <w:lang w:val="en-US"/>
        </w:rPr>
        <w:t>; t</w:t>
      </w:r>
      <w:r w:rsidRPr="003B0C3C">
        <w:rPr>
          <w:sz w:val="20"/>
          <w:szCs w:val="20"/>
          <w:lang w:val="en-US"/>
        </w:rPr>
        <w:t>o assess the impact of interventions in reducing inappropriate use of antimicrobials</w:t>
      </w:r>
      <w:r w:rsidR="003B0C3C" w:rsidRPr="003B0C3C">
        <w:rPr>
          <w:sz w:val="20"/>
          <w:szCs w:val="20"/>
          <w:lang w:val="en-US"/>
        </w:rPr>
        <w:t xml:space="preserve"> for surgical prophylaxis.</w:t>
      </w:r>
    </w:p>
    <w:p w:rsidR="001934F1" w:rsidRPr="003B0C3C" w:rsidRDefault="001934F1" w:rsidP="003B0C3C">
      <w:pPr>
        <w:spacing w:after="0"/>
        <w:rPr>
          <w:b/>
          <w:color w:val="31849B" w:themeColor="accent5" w:themeShade="BF"/>
          <w:sz w:val="20"/>
          <w:szCs w:val="20"/>
          <w:lang w:val="en-US"/>
        </w:rPr>
      </w:pPr>
      <w:r w:rsidRPr="003B0C3C">
        <w:rPr>
          <w:b/>
          <w:color w:val="31849B" w:themeColor="accent5" w:themeShade="BF"/>
          <w:sz w:val="20"/>
          <w:szCs w:val="20"/>
          <w:lang w:val="en-US"/>
        </w:rPr>
        <w:t>Methods:</w:t>
      </w:r>
    </w:p>
    <w:p w:rsidR="001934F1" w:rsidRPr="003B0C3C" w:rsidRDefault="003B0C3C" w:rsidP="001934F1">
      <w:pPr>
        <w:rPr>
          <w:bCs/>
          <w:noProof/>
          <w:sz w:val="20"/>
          <w:szCs w:val="20"/>
        </w:rPr>
      </w:pPr>
      <w:r w:rsidRPr="003B0C3C">
        <w:rPr>
          <w:bCs/>
          <w:noProof/>
          <w:sz w:val="20"/>
          <w:szCs w:val="20"/>
        </w:rPr>
        <w:t>A retrospective analysis of the Mediclinic Utilization Report and an –audit of intra-operative patient records was conducted. An awareness campaign was launched where anaethetists and surgeons were invited to an antimicrobial stewardship information, feed</w:t>
      </w:r>
      <w:r w:rsidR="0086282D">
        <w:rPr>
          <w:bCs/>
          <w:noProof/>
          <w:sz w:val="20"/>
          <w:szCs w:val="20"/>
        </w:rPr>
        <w:t xml:space="preserve">back and discussion session. </w:t>
      </w:r>
      <w:r w:rsidRPr="003B0C3C">
        <w:rPr>
          <w:bCs/>
          <w:noProof/>
          <w:sz w:val="20"/>
          <w:szCs w:val="20"/>
        </w:rPr>
        <w:t>Feedback was obtained before the final version was implemented. To improve compliance, formulary restriction was implemented, strictly limiting which antimicrobials are available in theatre. Agents not on the guidleline are to be ordered from pharmacy via a preauthorization system. Cur</w:t>
      </w:r>
      <w:r w:rsidR="00FB4246">
        <w:rPr>
          <w:bCs/>
          <w:noProof/>
          <w:sz w:val="20"/>
          <w:szCs w:val="20"/>
        </w:rPr>
        <w:t>rently no orders are rejected by the</w:t>
      </w:r>
      <w:r w:rsidRPr="003B0C3C">
        <w:rPr>
          <w:bCs/>
          <w:noProof/>
          <w:sz w:val="20"/>
          <w:szCs w:val="20"/>
        </w:rPr>
        <w:t xml:space="preserve"> pharmacy.</w:t>
      </w:r>
    </w:p>
    <w:p w:rsidR="001934F1" w:rsidRPr="003B0C3C" w:rsidRDefault="001934F1" w:rsidP="008B6D2E">
      <w:pPr>
        <w:spacing w:after="0"/>
        <w:rPr>
          <w:b/>
          <w:color w:val="31849B" w:themeColor="accent5" w:themeShade="BF"/>
          <w:sz w:val="20"/>
          <w:szCs w:val="20"/>
          <w:lang w:val="en-US"/>
        </w:rPr>
      </w:pPr>
      <w:r w:rsidRPr="003B0C3C">
        <w:rPr>
          <w:b/>
          <w:color w:val="31849B" w:themeColor="accent5" w:themeShade="BF"/>
          <w:sz w:val="20"/>
          <w:szCs w:val="20"/>
          <w:lang w:val="en-US"/>
        </w:rPr>
        <w:t>Results:</w:t>
      </w:r>
    </w:p>
    <w:p w:rsidR="001934F1" w:rsidRPr="003B0C3C" w:rsidRDefault="003B0C3C" w:rsidP="001934F1">
      <w:pPr>
        <w:rPr>
          <w:bCs/>
          <w:noProof/>
          <w:sz w:val="20"/>
          <w:szCs w:val="20"/>
        </w:rPr>
      </w:pPr>
      <w:r w:rsidRPr="003B0C3C">
        <w:rPr>
          <w:bCs/>
          <w:noProof/>
          <w:sz w:val="20"/>
          <w:szCs w:val="20"/>
        </w:rPr>
        <w:t>An annotated Run Chart was used to assess the impact of the interventions on the number of inapproporiate antimicrobial surgical prophylaxis cases per month which fell significantly from an initial median of 32.5 to 15.5 cases per mont, a drop of 50%. Formulary restriction</w:t>
      </w:r>
      <w:r w:rsidR="00FB4246">
        <w:rPr>
          <w:bCs/>
          <w:noProof/>
          <w:sz w:val="20"/>
          <w:szCs w:val="20"/>
        </w:rPr>
        <w:t xml:space="preserve"> </w:t>
      </w:r>
      <w:r w:rsidRPr="003B0C3C">
        <w:rPr>
          <w:bCs/>
          <w:noProof/>
          <w:sz w:val="20"/>
          <w:szCs w:val="20"/>
        </w:rPr>
        <w:t xml:space="preserve">was not fully embraced at first by the medical staff. In addition, formulary restriction can cause delays in therapy due to the pre-authorization process including completeing forms and collection </w:t>
      </w:r>
      <w:r w:rsidR="00FB4246">
        <w:rPr>
          <w:bCs/>
          <w:noProof/>
          <w:sz w:val="20"/>
          <w:szCs w:val="20"/>
        </w:rPr>
        <w:t>of</w:t>
      </w:r>
      <w:r w:rsidRPr="003B0C3C">
        <w:rPr>
          <w:bCs/>
          <w:noProof/>
          <w:sz w:val="20"/>
          <w:szCs w:val="20"/>
        </w:rPr>
        <w:t xml:space="preserve"> the antimicrobial agent from pharmacy.</w:t>
      </w:r>
    </w:p>
    <w:p w:rsidR="001934F1" w:rsidRPr="003B0C3C" w:rsidRDefault="001934F1" w:rsidP="008B6D2E">
      <w:pPr>
        <w:spacing w:after="0"/>
        <w:rPr>
          <w:b/>
          <w:color w:val="31849B" w:themeColor="accent5" w:themeShade="BF"/>
          <w:sz w:val="20"/>
          <w:szCs w:val="20"/>
          <w:lang w:val="en-US"/>
        </w:rPr>
      </w:pPr>
      <w:r w:rsidRPr="003B0C3C">
        <w:rPr>
          <w:b/>
          <w:color w:val="31849B" w:themeColor="accent5" w:themeShade="BF"/>
          <w:sz w:val="20"/>
          <w:szCs w:val="20"/>
          <w:lang w:val="en-US"/>
        </w:rPr>
        <w:t>Conclusion:</w:t>
      </w:r>
    </w:p>
    <w:p w:rsidR="003B0C3C" w:rsidRPr="008B6D2E" w:rsidRDefault="0054173A" w:rsidP="001934F1">
      <w:pPr>
        <w:rPr>
          <w:noProof/>
          <w:sz w:val="20"/>
          <w:szCs w:val="20"/>
        </w:rPr>
      </w:pPr>
      <w:r>
        <w:rPr>
          <w:noProof/>
          <w:sz w:val="20"/>
          <w:szCs w:val="20"/>
        </w:rPr>
        <w:t>Antimicrobial surgi</w:t>
      </w:r>
      <w:bookmarkStart w:id="0" w:name="_GoBack"/>
      <w:bookmarkEnd w:id="0"/>
      <w:r w:rsidR="003B0C3C" w:rsidRPr="003B0C3C">
        <w:rPr>
          <w:noProof/>
          <w:sz w:val="20"/>
          <w:szCs w:val="20"/>
        </w:rPr>
        <w:t>cal prophylaxis which was initially perceived as a “low hangingfruit” can be challenging.</w:t>
      </w:r>
      <w:r w:rsidR="008B6D2E">
        <w:rPr>
          <w:noProof/>
          <w:sz w:val="20"/>
          <w:szCs w:val="20"/>
        </w:rPr>
        <w:t xml:space="preserve"> </w:t>
      </w:r>
      <w:r w:rsidR="003B0C3C" w:rsidRPr="003B0C3C">
        <w:rPr>
          <w:noProof/>
          <w:sz w:val="20"/>
          <w:szCs w:val="20"/>
        </w:rPr>
        <w:t>Powerful evidence based strategies like  formulary restriction and pre-authorization might be necessary to achieve success. An organisational-speci</w:t>
      </w:r>
      <w:r w:rsidR="009C1D16">
        <w:rPr>
          <w:noProof/>
          <w:sz w:val="20"/>
          <w:szCs w:val="20"/>
        </w:rPr>
        <w:t>fic guideline may be essential in</w:t>
      </w:r>
      <w:r w:rsidR="003B0C3C" w:rsidRPr="003B0C3C">
        <w:rPr>
          <w:noProof/>
          <w:sz w:val="20"/>
          <w:szCs w:val="20"/>
        </w:rPr>
        <w:t xml:space="preserve"> specialised settings.</w:t>
      </w:r>
    </w:p>
    <w:sectPr w:rsidR="003B0C3C" w:rsidRPr="008B6D2E" w:rsidSect="001934F1">
      <w:footerReference w:type="default" r:id="rId11"/>
      <w:pgSz w:w="11906" w:h="16838"/>
      <w:pgMar w:top="1440" w:right="1440" w:bottom="1440" w:left="1440" w:header="708" w:footer="708" w:gutter="0"/>
      <w:pgBorders w:offsetFrom="page">
        <w:top w:val="single" w:sz="18" w:space="24" w:color="215868" w:themeColor="accent5" w:themeShade="80"/>
        <w:left w:val="single" w:sz="18" w:space="24" w:color="215868" w:themeColor="accent5" w:themeShade="80"/>
        <w:bottom w:val="single" w:sz="18" w:space="24" w:color="215868" w:themeColor="accent5" w:themeShade="80"/>
        <w:right w:val="single" w:sz="18"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7BD" w:rsidRDefault="005D37BD" w:rsidP="004D19AD">
      <w:pPr>
        <w:spacing w:after="0" w:line="240" w:lineRule="auto"/>
      </w:pPr>
      <w:r>
        <w:separator/>
      </w:r>
    </w:p>
  </w:endnote>
  <w:endnote w:type="continuationSeparator" w:id="0">
    <w:p w:rsidR="005D37BD" w:rsidRDefault="005D37BD" w:rsidP="004D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AGRounded-Thi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08" w:rsidRPr="00577308" w:rsidRDefault="00577308">
    <w:pPr>
      <w:pStyle w:val="Footer"/>
      <w:rPr>
        <w:color w:val="006666"/>
      </w:rPr>
    </w:pPr>
    <w:r w:rsidRPr="00577308">
      <w:rPr>
        <w:color w:val="006666"/>
      </w:rPr>
      <w:t>WDGMC Research Day 2014</w:t>
    </w:r>
  </w:p>
  <w:p w:rsidR="00577308" w:rsidRDefault="00577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7BD" w:rsidRDefault="005D37BD" w:rsidP="004D19AD">
      <w:pPr>
        <w:spacing w:after="0" w:line="240" w:lineRule="auto"/>
      </w:pPr>
      <w:r>
        <w:separator/>
      </w:r>
    </w:p>
  </w:footnote>
  <w:footnote w:type="continuationSeparator" w:id="0">
    <w:p w:rsidR="005D37BD" w:rsidRDefault="005D37BD" w:rsidP="004D1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10A8F"/>
    <w:multiLevelType w:val="hybridMultilevel"/>
    <w:tmpl w:val="090EBA48"/>
    <w:lvl w:ilvl="0" w:tplc="F5AC6AC6">
      <w:start w:val="1"/>
      <w:numFmt w:val="decimal"/>
      <w:lvlText w:val="%1."/>
      <w:lvlJc w:val="left"/>
      <w:pPr>
        <w:ind w:left="36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57646A1F"/>
    <w:multiLevelType w:val="hybridMultilevel"/>
    <w:tmpl w:val="A394D0A6"/>
    <w:lvl w:ilvl="0" w:tplc="24A40A7C">
      <w:start w:val="1"/>
      <w:numFmt w:val="decimal"/>
      <w:lvlText w:val="%1."/>
      <w:lvlJc w:val="left"/>
      <w:pPr>
        <w:ind w:left="720" w:hanging="360"/>
      </w:pPr>
      <w:rPr>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F1"/>
    <w:rsid w:val="00191DEE"/>
    <w:rsid w:val="001934F1"/>
    <w:rsid w:val="001C46AE"/>
    <w:rsid w:val="00365351"/>
    <w:rsid w:val="003B0C3C"/>
    <w:rsid w:val="004229F6"/>
    <w:rsid w:val="004D19AD"/>
    <w:rsid w:val="0054173A"/>
    <w:rsid w:val="00577308"/>
    <w:rsid w:val="005D37BD"/>
    <w:rsid w:val="006468BC"/>
    <w:rsid w:val="006A3AC5"/>
    <w:rsid w:val="0086282D"/>
    <w:rsid w:val="008B6D2E"/>
    <w:rsid w:val="00971F27"/>
    <w:rsid w:val="009C1D16"/>
    <w:rsid w:val="00B12F7F"/>
    <w:rsid w:val="00EE290E"/>
    <w:rsid w:val="00FB42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customStyle="1" w:styleId="graycopybullets">
    <w:name w:val="gray copy bullets"/>
    <w:basedOn w:val="Normal"/>
    <w:uiPriority w:val="99"/>
    <w:rsid w:val="004D19AD"/>
    <w:pPr>
      <w:widowControl w:val="0"/>
      <w:suppressAutoHyphens/>
      <w:autoSpaceDE w:val="0"/>
      <w:autoSpaceDN w:val="0"/>
      <w:adjustRightInd w:val="0"/>
      <w:spacing w:after="0" w:line="280" w:lineRule="atLeast"/>
      <w:ind w:left="283" w:hanging="283"/>
      <w:jc w:val="both"/>
      <w:textAlignment w:val="center"/>
    </w:pPr>
    <w:rPr>
      <w:rFonts w:ascii="VAGRounded-Thin" w:eastAsia="Cambria" w:hAnsi="VAGRounded-Thin" w:cs="VAGRounded-Thin"/>
      <w:color w:val="262626"/>
      <w:spacing w:val="2"/>
      <w:sz w:val="19"/>
      <w:szCs w:val="19"/>
      <w:lang w:val="en-GB"/>
    </w:rPr>
  </w:style>
  <w:style w:type="paragraph" w:styleId="ListParagraph">
    <w:name w:val="List Paragraph"/>
    <w:basedOn w:val="Normal"/>
    <w:uiPriority w:val="34"/>
    <w:qFormat/>
    <w:rsid w:val="004D19AD"/>
    <w:pPr>
      <w:ind w:left="720"/>
      <w:contextualSpacing/>
    </w:pPr>
  </w:style>
  <w:style w:type="paragraph" w:styleId="Header">
    <w:name w:val="header"/>
    <w:basedOn w:val="Normal"/>
    <w:link w:val="HeaderChar"/>
    <w:uiPriority w:val="99"/>
    <w:unhideWhenUsed/>
    <w:rsid w:val="00577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308"/>
  </w:style>
  <w:style w:type="paragraph" w:styleId="Footer">
    <w:name w:val="footer"/>
    <w:basedOn w:val="Normal"/>
    <w:link w:val="FooterChar"/>
    <w:uiPriority w:val="99"/>
    <w:unhideWhenUsed/>
    <w:rsid w:val="00577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3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customStyle="1" w:styleId="graycopybullets">
    <w:name w:val="gray copy bullets"/>
    <w:basedOn w:val="Normal"/>
    <w:uiPriority w:val="99"/>
    <w:rsid w:val="004D19AD"/>
    <w:pPr>
      <w:widowControl w:val="0"/>
      <w:suppressAutoHyphens/>
      <w:autoSpaceDE w:val="0"/>
      <w:autoSpaceDN w:val="0"/>
      <w:adjustRightInd w:val="0"/>
      <w:spacing w:after="0" w:line="280" w:lineRule="atLeast"/>
      <w:ind w:left="283" w:hanging="283"/>
      <w:jc w:val="both"/>
      <w:textAlignment w:val="center"/>
    </w:pPr>
    <w:rPr>
      <w:rFonts w:ascii="VAGRounded-Thin" w:eastAsia="Cambria" w:hAnsi="VAGRounded-Thin" w:cs="VAGRounded-Thin"/>
      <w:color w:val="262626"/>
      <w:spacing w:val="2"/>
      <w:sz w:val="19"/>
      <w:szCs w:val="19"/>
      <w:lang w:val="en-GB"/>
    </w:rPr>
  </w:style>
  <w:style w:type="paragraph" w:styleId="ListParagraph">
    <w:name w:val="List Paragraph"/>
    <w:basedOn w:val="Normal"/>
    <w:uiPriority w:val="34"/>
    <w:qFormat/>
    <w:rsid w:val="004D19AD"/>
    <w:pPr>
      <w:ind w:left="720"/>
      <w:contextualSpacing/>
    </w:pPr>
  </w:style>
  <w:style w:type="paragraph" w:styleId="Header">
    <w:name w:val="header"/>
    <w:basedOn w:val="Normal"/>
    <w:link w:val="HeaderChar"/>
    <w:uiPriority w:val="99"/>
    <w:unhideWhenUsed/>
    <w:rsid w:val="00577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308"/>
  </w:style>
  <w:style w:type="paragraph" w:styleId="Footer">
    <w:name w:val="footer"/>
    <w:basedOn w:val="Normal"/>
    <w:link w:val="FooterChar"/>
    <w:uiPriority w:val="99"/>
    <w:unhideWhenUsed/>
    <w:rsid w:val="00577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1.jpg@01D0025D.8AB66E1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43B99-9B51-48A1-B48F-0D10C42B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jemmao</dc:creator>
  <cp:lastModifiedBy>June</cp:lastModifiedBy>
  <cp:revision>3</cp:revision>
  <cp:lastPrinted>2014-11-19T11:34:00Z</cp:lastPrinted>
  <dcterms:created xsi:type="dcterms:W3CDTF">2014-11-21T12:10:00Z</dcterms:created>
  <dcterms:modified xsi:type="dcterms:W3CDTF">2014-11-21T12:10:00Z</dcterms:modified>
</cp:coreProperties>
</file>