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F1" w:rsidRDefault="00340E19" w:rsidP="001934F1">
      <w:pPr>
        <w:jc w:val="right"/>
        <w:rPr>
          <w:color w:val="31849B" w:themeColor="accent5" w:themeShade="BF"/>
          <w:sz w:val="28"/>
          <w:szCs w:val="28"/>
          <w:u w:val="single"/>
          <w:lang w:val="en-US"/>
        </w:rPr>
      </w:pPr>
      <w:r>
        <w:rPr>
          <w:noProof/>
          <w:lang w:eastAsia="en-ZA"/>
        </w:rPr>
        <w:drawing>
          <wp:inline distT="0" distB="0" distL="0" distR="0" wp14:anchorId="293092AB" wp14:editId="477763E4">
            <wp:extent cx="2048256" cy="1066800"/>
            <wp:effectExtent l="0" t="0" r="9525" b="0"/>
            <wp:docPr id="1" name="Picture 1" descr="cid:image001.jpg@01D0025D.8AB66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025D.8AB66E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56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27" w:rsidRPr="00340E19" w:rsidRDefault="00340E19">
      <w:pPr>
        <w:rPr>
          <w:b/>
          <w:color w:val="31849B" w:themeColor="accent5" w:themeShade="BF"/>
          <w:lang w:val="en-US"/>
        </w:rPr>
      </w:pPr>
      <w:r>
        <w:rPr>
          <w:b/>
          <w:color w:val="31849B" w:themeColor="accent5" w:themeShade="BF"/>
          <w:lang w:val="en-US"/>
        </w:rPr>
        <w:t xml:space="preserve">Poster Abstract: </w:t>
      </w:r>
      <w:r w:rsidRPr="00340E19">
        <w:rPr>
          <w:b/>
          <w:color w:val="31849B" w:themeColor="accent5" w:themeShade="BF"/>
          <w:lang w:val="en-US"/>
        </w:rPr>
        <w:t>P1</w:t>
      </w:r>
    </w:p>
    <w:p w:rsidR="001934F1" w:rsidRPr="00962EB6" w:rsidRDefault="001934F1">
      <w:pPr>
        <w:rPr>
          <w:b/>
          <w:bCs/>
          <w:sz w:val="20"/>
          <w:szCs w:val="20"/>
        </w:rPr>
      </w:pPr>
      <w:r w:rsidRPr="00962EB6">
        <w:rPr>
          <w:b/>
          <w:color w:val="31849B" w:themeColor="accent5" w:themeShade="BF"/>
          <w:sz w:val="20"/>
          <w:szCs w:val="20"/>
          <w:lang w:val="en-US"/>
        </w:rPr>
        <w:t>Title:</w:t>
      </w:r>
      <w:r w:rsidRPr="00962EB6">
        <w:rPr>
          <w:b/>
          <w:bCs/>
          <w:sz w:val="20"/>
          <w:szCs w:val="20"/>
        </w:rPr>
        <w:t xml:space="preserve"> </w:t>
      </w:r>
    </w:p>
    <w:p w:rsidR="00463B44" w:rsidRPr="00340E19" w:rsidRDefault="00463B44" w:rsidP="00463B44">
      <w:pPr>
        <w:autoSpaceDE w:val="0"/>
        <w:autoSpaceDN w:val="0"/>
        <w:adjustRightInd w:val="0"/>
        <w:spacing w:before="240" w:after="0" w:line="240" w:lineRule="auto"/>
        <w:rPr>
          <w:rFonts w:cs="TimesNewRomanPS-BoldMT"/>
          <w:b/>
          <w:bCs/>
          <w:sz w:val="20"/>
          <w:szCs w:val="20"/>
        </w:rPr>
      </w:pPr>
      <w:proofErr w:type="gramStart"/>
      <w:r w:rsidRPr="00340E19">
        <w:rPr>
          <w:rFonts w:cs="TimesNewRomanPS-BoldMT"/>
          <w:b/>
          <w:bCs/>
          <w:sz w:val="20"/>
          <w:szCs w:val="20"/>
        </w:rPr>
        <w:t xml:space="preserve">Comparison of hip fracture mortality before and after introducing an </w:t>
      </w:r>
      <w:proofErr w:type="spellStart"/>
      <w:r w:rsidRPr="00340E19">
        <w:rPr>
          <w:rFonts w:cs="TimesNewRomanPS-BoldMT"/>
          <w:b/>
          <w:bCs/>
          <w:sz w:val="20"/>
          <w:szCs w:val="20"/>
        </w:rPr>
        <w:t>Orthogeriatrics</w:t>
      </w:r>
      <w:proofErr w:type="spellEnd"/>
      <w:r w:rsidRPr="00340E19">
        <w:rPr>
          <w:rFonts w:cs="TimesNewRomanPS-BoldMT"/>
          <w:b/>
          <w:bCs/>
          <w:sz w:val="20"/>
          <w:szCs w:val="20"/>
        </w:rPr>
        <w:t xml:space="preserve"> unit at Helen Joseph Hospital,</w:t>
      </w:r>
      <w:r w:rsidR="005F442E" w:rsidRPr="00340E19">
        <w:rPr>
          <w:rFonts w:cs="TimesNewRomanPS-BoldMT"/>
          <w:b/>
          <w:bCs/>
          <w:sz w:val="20"/>
          <w:szCs w:val="20"/>
        </w:rPr>
        <w:t xml:space="preserve"> </w:t>
      </w:r>
      <w:r w:rsidRPr="00340E19">
        <w:rPr>
          <w:rFonts w:cs="TimesNewRomanPS-BoldMT"/>
          <w:b/>
          <w:bCs/>
          <w:sz w:val="20"/>
          <w:szCs w:val="20"/>
        </w:rPr>
        <w:t>Johannesburg.</w:t>
      </w:r>
      <w:proofErr w:type="gramEnd"/>
      <w:r w:rsidR="001934F1" w:rsidRPr="00340E19"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</w:p>
    <w:p w:rsidR="00463B44" w:rsidRDefault="00463B44" w:rsidP="00463B44">
      <w:pPr>
        <w:rPr>
          <w:b/>
          <w:color w:val="31849B" w:themeColor="accent5" w:themeShade="BF"/>
          <w:sz w:val="20"/>
          <w:szCs w:val="20"/>
          <w:lang w:val="en-US"/>
        </w:rPr>
      </w:pPr>
    </w:p>
    <w:p w:rsidR="001934F1" w:rsidRPr="00962EB6" w:rsidRDefault="001934F1" w:rsidP="00463B44">
      <w:pPr>
        <w:rPr>
          <w:color w:val="31849B" w:themeColor="accent5" w:themeShade="BF"/>
          <w:sz w:val="20"/>
          <w:szCs w:val="20"/>
          <w:lang w:val="en-US"/>
        </w:rPr>
      </w:pPr>
      <w:r w:rsidRPr="00962EB6">
        <w:rPr>
          <w:b/>
          <w:color w:val="31849B" w:themeColor="accent5" w:themeShade="BF"/>
          <w:sz w:val="20"/>
          <w:szCs w:val="20"/>
          <w:lang w:val="en-US"/>
        </w:rPr>
        <w:t>Author</w:t>
      </w:r>
      <w:r w:rsidR="00340E19">
        <w:rPr>
          <w:b/>
          <w:color w:val="31849B" w:themeColor="accent5" w:themeShade="BF"/>
          <w:sz w:val="20"/>
          <w:szCs w:val="20"/>
          <w:lang w:val="en-US"/>
        </w:rPr>
        <w:t>s</w:t>
      </w:r>
      <w:r w:rsidRPr="00962EB6">
        <w:rPr>
          <w:b/>
          <w:color w:val="31849B" w:themeColor="accent5" w:themeShade="BF"/>
          <w:sz w:val="20"/>
          <w:szCs w:val="20"/>
          <w:lang w:val="en-US"/>
        </w:rPr>
        <w:t>:</w:t>
      </w:r>
    </w:p>
    <w:p w:rsidR="00463B44" w:rsidRPr="00463B44" w:rsidRDefault="001934F1" w:rsidP="00463B44">
      <w:pPr>
        <w:spacing w:before="240" w:after="0" w:line="240" w:lineRule="auto"/>
        <w:rPr>
          <w:rFonts w:cs="Times-Roman"/>
          <w:sz w:val="20"/>
          <w:szCs w:val="20"/>
          <w:vertAlign w:val="superscript"/>
        </w:rPr>
      </w:pPr>
      <w:r w:rsidRPr="00463B44">
        <w:rPr>
          <w:color w:val="31849B" w:themeColor="accent5" w:themeShade="BF"/>
          <w:sz w:val="20"/>
          <w:szCs w:val="20"/>
          <w:lang w:val="en-US"/>
        </w:rPr>
        <w:t xml:space="preserve"> </w:t>
      </w:r>
      <w:r w:rsidR="00463B44" w:rsidRPr="00463B44">
        <w:rPr>
          <w:rFonts w:cs="TimesNewRomanPS-BoldMT"/>
          <w:bCs/>
          <w:sz w:val="20"/>
          <w:szCs w:val="20"/>
        </w:rPr>
        <w:t>India Butler</w:t>
      </w:r>
      <w:r w:rsidR="00463B44" w:rsidRPr="00463B44">
        <w:rPr>
          <w:rFonts w:cs="Times-Roman"/>
          <w:sz w:val="20"/>
          <w:szCs w:val="20"/>
          <w:vertAlign w:val="superscript"/>
        </w:rPr>
        <w:t>1</w:t>
      </w:r>
      <w:r w:rsidR="00463B44" w:rsidRPr="00463B44">
        <w:rPr>
          <w:rFonts w:cs="Times-Roman"/>
          <w:sz w:val="20"/>
          <w:szCs w:val="20"/>
        </w:rPr>
        <w:t>*</w:t>
      </w:r>
      <w:r w:rsidR="00463B44" w:rsidRPr="00463B44">
        <w:rPr>
          <w:rFonts w:cs="TimesNewRomanPS-BoldMT"/>
          <w:bCs/>
          <w:sz w:val="20"/>
          <w:szCs w:val="20"/>
        </w:rPr>
        <w:t>, Lindy Sinclair</w:t>
      </w:r>
      <w:r w:rsidR="00463B44" w:rsidRPr="00463B44">
        <w:rPr>
          <w:rFonts w:cs="Times-Roman"/>
          <w:sz w:val="20"/>
          <w:szCs w:val="20"/>
          <w:vertAlign w:val="superscript"/>
        </w:rPr>
        <w:t xml:space="preserve"> </w:t>
      </w:r>
      <w:r w:rsidR="00463B44" w:rsidRPr="00463B44">
        <w:rPr>
          <w:rFonts w:cs="TimesNewRomanPS-BoldMT"/>
          <w:bCs/>
          <w:sz w:val="20"/>
          <w:szCs w:val="20"/>
          <w:vertAlign w:val="superscript"/>
        </w:rPr>
        <w:t>1</w:t>
      </w:r>
      <w:r w:rsidR="00463B44" w:rsidRPr="00463B44">
        <w:rPr>
          <w:rFonts w:cs="TimesNewRomanPS-BoldMT"/>
          <w:bCs/>
          <w:sz w:val="20"/>
          <w:szCs w:val="20"/>
        </w:rPr>
        <w:t xml:space="preserve">, Brent </w:t>
      </w:r>
      <w:proofErr w:type="gramStart"/>
      <w:r w:rsidR="00463B44" w:rsidRPr="00463B44">
        <w:rPr>
          <w:rFonts w:cs="TimesNewRomanPS-BoldMT"/>
          <w:bCs/>
          <w:sz w:val="20"/>
          <w:szCs w:val="20"/>
        </w:rPr>
        <w:t>Tipping</w:t>
      </w:r>
      <w:r w:rsidR="00463B44" w:rsidRPr="00463B44">
        <w:rPr>
          <w:rFonts w:cs="Times-Roman"/>
          <w:sz w:val="20"/>
          <w:szCs w:val="20"/>
          <w:vertAlign w:val="superscript"/>
        </w:rPr>
        <w:t xml:space="preserve">1 </w:t>
      </w:r>
      <w:r w:rsidR="00463B44" w:rsidRPr="00463B44">
        <w:rPr>
          <w:rFonts w:cs="Times-Roman"/>
          <w:sz w:val="20"/>
          <w:szCs w:val="20"/>
        </w:rPr>
        <w:t xml:space="preserve"> </w:t>
      </w:r>
      <w:r w:rsidR="00463B44" w:rsidRPr="00463B44">
        <w:rPr>
          <w:rFonts w:cs="TimesNewRomanPS-BoldMT"/>
          <w:bCs/>
          <w:sz w:val="20"/>
          <w:szCs w:val="20"/>
        </w:rPr>
        <w:t>and</w:t>
      </w:r>
      <w:proofErr w:type="gramEnd"/>
      <w:r w:rsidR="00463B44" w:rsidRPr="00463B44">
        <w:rPr>
          <w:rFonts w:cs="TimesNewRomanPS-BoldMT"/>
          <w:bCs/>
          <w:sz w:val="20"/>
          <w:szCs w:val="20"/>
        </w:rPr>
        <w:t xml:space="preserve"> Andrew Boulle</w:t>
      </w:r>
      <w:r w:rsidR="00463B44" w:rsidRPr="00463B44">
        <w:rPr>
          <w:rFonts w:cs="Times-Roman"/>
          <w:sz w:val="20"/>
          <w:szCs w:val="20"/>
          <w:vertAlign w:val="superscript"/>
        </w:rPr>
        <w:t>2</w:t>
      </w:r>
    </w:p>
    <w:p w:rsidR="00463B44" w:rsidRPr="00463B44" w:rsidRDefault="00463B44" w:rsidP="00463B44">
      <w:pPr>
        <w:spacing w:after="0"/>
        <w:rPr>
          <w:rFonts w:cs="Times-Roman"/>
          <w:vertAlign w:val="superscript"/>
        </w:rPr>
      </w:pPr>
      <w:r w:rsidRPr="00463B44">
        <w:rPr>
          <w:rFonts w:cs="Times-Roman"/>
          <w:sz w:val="20"/>
          <w:szCs w:val="20"/>
        </w:rPr>
        <w:t xml:space="preserve">1 </w:t>
      </w:r>
      <w:r w:rsidRPr="00463B44">
        <w:rPr>
          <w:rFonts w:cs="TimesNewRomanPS-ItalicMT"/>
          <w:iCs/>
          <w:sz w:val="20"/>
          <w:szCs w:val="20"/>
        </w:rPr>
        <w:t xml:space="preserve">Division </w:t>
      </w:r>
      <w:proofErr w:type="gramStart"/>
      <w:r w:rsidRPr="00463B44">
        <w:rPr>
          <w:rFonts w:cs="TimesNewRomanPS-ItalicMT"/>
          <w:iCs/>
          <w:sz w:val="20"/>
          <w:szCs w:val="20"/>
        </w:rPr>
        <w:t>Of</w:t>
      </w:r>
      <w:proofErr w:type="gramEnd"/>
      <w:r w:rsidRPr="00463B44">
        <w:rPr>
          <w:rFonts w:cs="TimesNewRomanPS-ItalicMT"/>
          <w:iCs/>
          <w:sz w:val="20"/>
          <w:szCs w:val="20"/>
        </w:rPr>
        <w:t xml:space="preserve"> Geriatrics, Department Of Medicine</w:t>
      </w:r>
      <w:r w:rsidRPr="00463B44">
        <w:rPr>
          <w:rFonts w:cs="Times-Roman"/>
          <w:sz w:val="20"/>
          <w:szCs w:val="20"/>
        </w:rPr>
        <w:t xml:space="preserve">, </w:t>
      </w:r>
      <w:r w:rsidRPr="00463B44">
        <w:rPr>
          <w:rFonts w:cs="TimesNewRomanPS-ItalicMT"/>
          <w:iCs/>
          <w:sz w:val="20"/>
          <w:szCs w:val="20"/>
        </w:rPr>
        <w:t>University Of Witwatersrand</w:t>
      </w:r>
      <w:r w:rsidRPr="00463B44">
        <w:rPr>
          <w:rFonts w:cs="Times-Roman"/>
          <w:sz w:val="20"/>
          <w:szCs w:val="20"/>
        </w:rPr>
        <w:t xml:space="preserve">, </w:t>
      </w:r>
      <w:r w:rsidRPr="00463B44">
        <w:rPr>
          <w:rFonts w:cs="TimesNewRomanPS-ItalicMT"/>
          <w:iCs/>
          <w:sz w:val="20"/>
          <w:szCs w:val="20"/>
        </w:rPr>
        <w:t>South</w:t>
      </w:r>
    </w:p>
    <w:p w:rsidR="00463B44" w:rsidRPr="00463B44" w:rsidRDefault="00463B44" w:rsidP="00463B44">
      <w:pPr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20"/>
          <w:szCs w:val="20"/>
        </w:rPr>
      </w:pPr>
      <w:r>
        <w:rPr>
          <w:rFonts w:cs="TimesNewRomanPS-ItalicMT"/>
          <w:iCs/>
          <w:sz w:val="20"/>
          <w:szCs w:val="20"/>
        </w:rPr>
        <w:t xml:space="preserve">   </w:t>
      </w:r>
      <w:r w:rsidRPr="00463B44">
        <w:rPr>
          <w:rFonts w:cs="TimesNewRomanPS-ItalicMT"/>
          <w:iCs/>
          <w:sz w:val="20"/>
          <w:szCs w:val="20"/>
        </w:rPr>
        <w:t>Africa</w:t>
      </w:r>
    </w:p>
    <w:p w:rsidR="00463B44" w:rsidRPr="00463B44" w:rsidRDefault="00463B44" w:rsidP="00463B44">
      <w:pPr>
        <w:rPr>
          <w:bCs/>
          <w:noProof/>
          <w:sz w:val="20"/>
          <w:szCs w:val="20"/>
          <w:vertAlign w:val="superscript"/>
        </w:rPr>
      </w:pPr>
      <w:r w:rsidRPr="00463B44">
        <w:rPr>
          <w:rFonts w:cs="Times-Roman"/>
          <w:sz w:val="20"/>
          <w:szCs w:val="20"/>
        </w:rPr>
        <w:t xml:space="preserve">2 </w:t>
      </w:r>
      <w:proofErr w:type="gramStart"/>
      <w:r w:rsidRPr="00463B44">
        <w:rPr>
          <w:rFonts w:cs="TimesNewRomanPS-ItalicMT"/>
          <w:iCs/>
          <w:sz w:val="20"/>
          <w:szCs w:val="20"/>
        </w:rPr>
        <w:t>School</w:t>
      </w:r>
      <w:proofErr w:type="gramEnd"/>
      <w:r w:rsidRPr="00463B44">
        <w:rPr>
          <w:rFonts w:cs="TimesNewRomanPS-ItalicMT"/>
          <w:iCs/>
          <w:sz w:val="20"/>
          <w:szCs w:val="20"/>
        </w:rPr>
        <w:t xml:space="preserve"> Of Public Health And Family Medicine</w:t>
      </w:r>
      <w:r w:rsidRPr="00463B44">
        <w:rPr>
          <w:rFonts w:cs="Times-Roman"/>
          <w:sz w:val="20"/>
          <w:szCs w:val="20"/>
        </w:rPr>
        <w:t xml:space="preserve">, </w:t>
      </w:r>
      <w:r w:rsidRPr="00463B44">
        <w:rPr>
          <w:rFonts w:cs="TimesNewRomanPS-ItalicMT"/>
          <w:iCs/>
          <w:sz w:val="20"/>
          <w:szCs w:val="20"/>
        </w:rPr>
        <w:t>University Of Cape Town</w:t>
      </w:r>
      <w:r w:rsidRPr="00463B44">
        <w:rPr>
          <w:rFonts w:cs="Times-Roman"/>
          <w:sz w:val="20"/>
          <w:szCs w:val="20"/>
        </w:rPr>
        <w:t xml:space="preserve">, </w:t>
      </w:r>
      <w:r w:rsidRPr="00463B44">
        <w:rPr>
          <w:rFonts w:cs="TimesNewRomanPS-ItalicMT"/>
          <w:iCs/>
          <w:sz w:val="20"/>
          <w:szCs w:val="20"/>
        </w:rPr>
        <w:t>South Africa</w:t>
      </w:r>
    </w:p>
    <w:p w:rsidR="00401619" w:rsidRPr="00962EB6" w:rsidRDefault="00463B44" w:rsidP="001934F1">
      <w:pPr>
        <w:rPr>
          <w:b/>
          <w:color w:val="31849B" w:themeColor="accent5" w:themeShade="BF"/>
          <w:sz w:val="20"/>
          <w:szCs w:val="20"/>
          <w:lang w:val="en-US"/>
        </w:rPr>
      </w:pPr>
      <w:r>
        <w:rPr>
          <w:b/>
          <w:color w:val="31849B" w:themeColor="accent5" w:themeShade="BF"/>
          <w:sz w:val="20"/>
          <w:szCs w:val="20"/>
          <w:lang w:val="en-US"/>
        </w:rPr>
        <w:t>Introduction:</w:t>
      </w:r>
    </w:p>
    <w:p w:rsidR="00463B44" w:rsidRPr="00463B44" w:rsidRDefault="00463B44" w:rsidP="00463B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463B44">
        <w:rPr>
          <w:rFonts w:cs="TimesNewRomanPSMT"/>
          <w:sz w:val="20"/>
          <w:szCs w:val="20"/>
        </w:rPr>
        <w:t xml:space="preserve">Hip fractures in elderly patients have </w:t>
      </w:r>
      <w:proofErr w:type="gramStart"/>
      <w:r w:rsidRPr="00463B44">
        <w:rPr>
          <w:rFonts w:cs="TimesNewRomanPSMT"/>
          <w:sz w:val="20"/>
          <w:szCs w:val="20"/>
        </w:rPr>
        <w:t>a high</w:t>
      </w:r>
      <w:proofErr w:type="gramEnd"/>
      <w:r w:rsidRPr="00463B44">
        <w:rPr>
          <w:rFonts w:cs="TimesNewRomanPSMT"/>
          <w:sz w:val="20"/>
          <w:szCs w:val="20"/>
        </w:rPr>
        <w:t xml:space="preserve"> in-hospital mortality. A comprehensive geriatric</w:t>
      </w:r>
    </w:p>
    <w:p w:rsidR="00463B44" w:rsidRPr="00463B44" w:rsidRDefault="00463B44" w:rsidP="00463B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proofErr w:type="gramStart"/>
      <w:r w:rsidRPr="00463B44">
        <w:rPr>
          <w:rFonts w:cs="TimesNewRomanPSMT"/>
          <w:sz w:val="20"/>
          <w:szCs w:val="20"/>
        </w:rPr>
        <w:t>intervention</w:t>
      </w:r>
      <w:proofErr w:type="gramEnd"/>
      <w:r w:rsidRPr="00463B44">
        <w:rPr>
          <w:rFonts w:cs="TimesNewRomanPSMT"/>
          <w:sz w:val="20"/>
          <w:szCs w:val="20"/>
        </w:rPr>
        <w:t xml:space="preserve"> has been shown to reduce the mortality rate. There is little evidence of the role of comprehensive</w:t>
      </w:r>
    </w:p>
    <w:p w:rsidR="004B1D6D" w:rsidRDefault="00463B44" w:rsidP="00463B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proofErr w:type="gramStart"/>
      <w:r w:rsidRPr="00463B44">
        <w:rPr>
          <w:rFonts w:cs="TimesNewRomanPSMT"/>
          <w:sz w:val="20"/>
          <w:szCs w:val="20"/>
        </w:rPr>
        <w:t>geriatric</w:t>
      </w:r>
      <w:proofErr w:type="gramEnd"/>
      <w:r w:rsidRPr="00463B44">
        <w:rPr>
          <w:rFonts w:cs="TimesNewRomanPSMT"/>
          <w:sz w:val="20"/>
          <w:szCs w:val="20"/>
        </w:rPr>
        <w:t xml:space="preserve"> intervention in management of acute hip fractures in Africa. Geriatric services only became available</w:t>
      </w:r>
      <w:r>
        <w:rPr>
          <w:rFonts w:cs="TimesNewRomanPSMT"/>
          <w:sz w:val="20"/>
          <w:szCs w:val="20"/>
        </w:rPr>
        <w:t xml:space="preserve"> in </w:t>
      </w:r>
      <w:r w:rsidRPr="00463B44">
        <w:rPr>
          <w:rFonts w:cs="TimesNewRomanPSMT"/>
          <w:sz w:val="20"/>
          <w:szCs w:val="20"/>
        </w:rPr>
        <w:t xml:space="preserve">state hospitals in Gauteng province, South Africa in early 2012. Our objectives were </w:t>
      </w:r>
      <w:r>
        <w:rPr>
          <w:rFonts w:cs="TimesNewRomanPSMT"/>
          <w:sz w:val="20"/>
          <w:szCs w:val="20"/>
        </w:rPr>
        <w:t xml:space="preserve">to assess the outcomes in older </w:t>
      </w:r>
      <w:r w:rsidRPr="00463B44">
        <w:rPr>
          <w:rFonts w:cs="TimesNewRomanPSMT"/>
          <w:sz w:val="20"/>
          <w:szCs w:val="20"/>
        </w:rPr>
        <w:t xml:space="preserve">patients with hip fractures before and after the introduction of an Acute </w:t>
      </w:r>
      <w:proofErr w:type="spellStart"/>
      <w:r w:rsidRPr="00463B44">
        <w:rPr>
          <w:rFonts w:cs="TimesNewRomanPSMT"/>
          <w:sz w:val="20"/>
          <w:szCs w:val="20"/>
        </w:rPr>
        <w:t>Ortho</w:t>
      </w:r>
      <w:r>
        <w:rPr>
          <w:rFonts w:cs="TimesNewRomanPSMT"/>
          <w:sz w:val="20"/>
          <w:szCs w:val="20"/>
        </w:rPr>
        <w:t>geriatrics</w:t>
      </w:r>
      <w:proofErr w:type="spellEnd"/>
      <w:r>
        <w:rPr>
          <w:rFonts w:cs="TimesNewRomanPSMT"/>
          <w:sz w:val="20"/>
          <w:szCs w:val="20"/>
        </w:rPr>
        <w:t xml:space="preserve"> Unit at Helen Joseph </w:t>
      </w:r>
      <w:r w:rsidRPr="00463B44">
        <w:rPr>
          <w:rFonts w:cs="TimesNewRomanPSMT"/>
          <w:sz w:val="20"/>
          <w:szCs w:val="20"/>
        </w:rPr>
        <w:t>Hospital, a state facility for indigent patients in Johannesburg, South Africa.</w:t>
      </w:r>
    </w:p>
    <w:p w:rsidR="00463B44" w:rsidRDefault="00463B44" w:rsidP="00463B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463B44" w:rsidRPr="00962EB6" w:rsidRDefault="00463B44" w:rsidP="00463B44">
      <w:pPr>
        <w:rPr>
          <w:b/>
          <w:color w:val="31849B" w:themeColor="accent5" w:themeShade="BF"/>
          <w:sz w:val="20"/>
          <w:szCs w:val="20"/>
          <w:lang w:val="en-US"/>
        </w:rPr>
      </w:pPr>
      <w:r>
        <w:rPr>
          <w:b/>
          <w:color w:val="31849B" w:themeColor="accent5" w:themeShade="BF"/>
          <w:sz w:val="20"/>
          <w:szCs w:val="20"/>
          <w:lang w:val="en-US"/>
        </w:rPr>
        <w:t>Method:</w:t>
      </w:r>
    </w:p>
    <w:p w:rsidR="00463B44" w:rsidRDefault="00463B44" w:rsidP="00463B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463B44">
        <w:rPr>
          <w:rFonts w:cs="TimesNewRomanPSMT"/>
          <w:sz w:val="20"/>
          <w:szCs w:val="20"/>
        </w:rPr>
        <w:t>Chart review for one year before and then 9 months after commencement of the geriatric i</w:t>
      </w:r>
      <w:r>
        <w:rPr>
          <w:rFonts w:cs="TimesNewRomanPSMT"/>
          <w:sz w:val="20"/>
          <w:szCs w:val="20"/>
        </w:rPr>
        <w:t xml:space="preserve">ntervention. The risk </w:t>
      </w:r>
      <w:proofErr w:type="gramStart"/>
      <w:r>
        <w:rPr>
          <w:rFonts w:cs="TimesNewRomanPSMT"/>
          <w:sz w:val="20"/>
          <w:szCs w:val="20"/>
        </w:rPr>
        <w:t xml:space="preserve">ratio was </w:t>
      </w:r>
      <w:r w:rsidRPr="00463B44">
        <w:rPr>
          <w:rFonts w:cs="TimesNewRomanPSMT"/>
          <w:sz w:val="20"/>
          <w:szCs w:val="20"/>
        </w:rPr>
        <w:t>calculated comparing surgery and mortality pre and post</w:t>
      </w:r>
      <w:proofErr w:type="gramEnd"/>
      <w:r w:rsidRPr="00463B44">
        <w:rPr>
          <w:rFonts w:cs="TimesNewRomanPSMT"/>
          <w:sz w:val="20"/>
          <w:szCs w:val="20"/>
        </w:rPr>
        <w:t xml:space="preserve"> the intervention, and was estimated for m</w:t>
      </w:r>
      <w:r>
        <w:rPr>
          <w:rFonts w:cs="TimesNewRomanPSMT"/>
          <w:sz w:val="20"/>
          <w:szCs w:val="20"/>
        </w:rPr>
        <w:t xml:space="preserve">ortality adjusted for admission </w:t>
      </w:r>
      <w:r w:rsidRPr="00463B44">
        <w:rPr>
          <w:rFonts w:cs="TimesNewRomanPSMT"/>
          <w:sz w:val="20"/>
          <w:szCs w:val="20"/>
        </w:rPr>
        <w:t>characteristics in a binomial regression model.</w:t>
      </w:r>
    </w:p>
    <w:p w:rsidR="00463B44" w:rsidRDefault="00463B44" w:rsidP="00463B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463B44" w:rsidRDefault="00463B44" w:rsidP="00463B44">
      <w:pPr>
        <w:autoSpaceDE w:val="0"/>
        <w:autoSpaceDN w:val="0"/>
        <w:adjustRightInd w:val="0"/>
        <w:spacing w:after="0" w:line="240" w:lineRule="auto"/>
        <w:rPr>
          <w:b/>
          <w:color w:val="31849B" w:themeColor="accent5" w:themeShade="BF"/>
          <w:sz w:val="20"/>
          <w:szCs w:val="20"/>
          <w:lang w:val="en-US"/>
        </w:rPr>
      </w:pPr>
      <w:r>
        <w:rPr>
          <w:b/>
          <w:color w:val="31849B" w:themeColor="accent5" w:themeShade="BF"/>
          <w:sz w:val="20"/>
          <w:szCs w:val="20"/>
          <w:lang w:val="en-US"/>
        </w:rPr>
        <w:t>Results:</w:t>
      </w:r>
    </w:p>
    <w:p w:rsidR="00463B44" w:rsidRDefault="00463B44" w:rsidP="00463B44">
      <w:pPr>
        <w:autoSpaceDE w:val="0"/>
        <w:autoSpaceDN w:val="0"/>
        <w:adjustRightInd w:val="0"/>
        <w:spacing w:after="0" w:line="240" w:lineRule="auto"/>
        <w:rPr>
          <w:b/>
          <w:color w:val="31849B" w:themeColor="accent5" w:themeShade="BF"/>
          <w:sz w:val="20"/>
          <w:szCs w:val="20"/>
          <w:lang w:val="en-US"/>
        </w:rPr>
      </w:pPr>
    </w:p>
    <w:p w:rsidR="00463B44" w:rsidRPr="00463B44" w:rsidRDefault="00463B44" w:rsidP="00463B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463B44">
        <w:rPr>
          <w:rFonts w:cs="TimesNewRomanPSMT"/>
          <w:sz w:val="20"/>
          <w:szCs w:val="20"/>
        </w:rPr>
        <w:t>A total of 110 patients were reviewed, 50 (45%) received the geriatric intervention. Intervention patients</w:t>
      </w:r>
    </w:p>
    <w:p w:rsidR="00463B44" w:rsidRDefault="00463B44" w:rsidP="00463B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proofErr w:type="gramStart"/>
      <w:r w:rsidRPr="00463B44">
        <w:rPr>
          <w:rFonts w:cs="TimesNewRomanPSMT"/>
          <w:sz w:val="20"/>
          <w:szCs w:val="20"/>
        </w:rPr>
        <w:t>were</w:t>
      </w:r>
      <w:proofErr w:type="gramEnd"/>
      <w:r w:rsidRPr="00463B44">
        <w:rPr>
          <w:rFonts w:cs="TimesNewRomanPSMT"/>
          <w:sz w:val="20"/>
          <w:szCs w:val="20"/>
        </w:rPr>
        <w:t xml:space="preserve"> older (median 83 vs. 78 years, p=0.11) but were otherwise comparable to </w:t>
      </w:r>
      <w:r>
        <w:rPr>
          <w:rFonts w:cs="TimesNewRomanPSMT"/>
          <w:sz w:val="20"/>
          <w:szCs w:val="20"/>
        </w:rPr>
        <w:t xml:space="preserve">the pre-intervention group. The </w:t>
      </w:r>
      <w:r w:rsidRPr="00463B44">
        <w:rPr>
          <w:rFonts w:cs="TimesNewRomanPSMT"/>
          <w:sz w:val="20"/>
          <w:szCs w:val="20"/>
        </w:rPr>
        <w:t>intervention patients were more likely to undergo surgery (86% vs. 50% [RR] 1.5 95%</w:t>
      </w:r>
      <w:r>
        <w:rPr>
          <w:rFonts w:cs="TimesNewRomanPSMT"/>
          <w:sz w:val="20"/>
          <w:szCs w:val="20"/>
        </w:rPr>
        <w:t xml:space="preserve"> CI 1.2-1.9) and less likely to </w:t>
      </w:r>
      <w:r w:rsidRPr="00463B44">
        <w:rPr>
          <w:rFonts w:cs="TimesNewRomanPSMT"/>
          <w:sz w:val="20"/>
          <w:szCs w:val="20"/>
        </w:rPr>
        <w:t xml:space="preserve">die (12% vs. 22%; [RR] 0.5 95% CI </w:t>
      </w:r>
      <w:proofErr w:type="gramStart"/>
      <w:r w:rsidRPr="00463B44">
        <w:rPr>
          <w:rFonts w:cs="TimesNewRomanPSMT"/>
          <w:sz w:val="20"/>
          <w:szCs w:val="20"/>
        </w:rPr>
        <w:t>0.2 ?</w:t>
      </w:r>
      <w:proofErr w:type="gramEnd"/>
      <w:r w:rsidRPr="00463B44">
        <w:rPr>
          <w:rFonts w:cs="TimesNewRomanPSMT"/>
          <w:sz w:val="20"/>
          <w:szCs w:val="20"/>
        </w:rPr>
        <w:t xml:space="preserve"> 1.3).</w:t>
      </w:r>
    </w:p>
    <w:p w:rsidR="00463B44" w:rsidRDefault="00463B44" w:rsidP="00463B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463B44" w:rsidRDefault="00463B44" w:rsidP="00463B44">
      <w:pPr>
        <w:autoSpaceDE w:val="0"/>
        <w:autoSpaceDN w:val="0"/>
        <w:adjustRightInd w:val="0"/>
        <w:spacing w:after="0" w:line="240" w:lineRule="auto"/>
        <w:rPr>
          <w:b/>
          <w:color w:val="31849B" w:themeColor="accent5" w:themeShade="BF"/>
          <w:sz w:val="20"/>
          <w:szCs w:val="20"/>
          <w:lang w:val="en-US"/>
        </w:rPr>
      </w:pPr>
      <w:r>
        <w:rPr>
          <w:b/>
          <w:color w:val="31849B" w:themeColor="accent5" w:themeShade="BF"/>
          <w:sz w:val="20"/>
          <w:szCs w:val="20"/>
          <w:lang w:val="en-US"/>
        </w:rPr>
        <w:t>Conclusion:</w:t>
      </w:r>
    </w:p>
    <w:p w:rsidR="00463B44" w:rsidRDefault="00463B44" w:rsidP="00463B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463B44" w:rsidRPr="00463B44" w:rsidRDefault="00463B44" w:rsidP="00463B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463B44">
        <w:rPr>
          <w:rFonts w:cs="TimesNewRomanPSMT"/>
          <w:sz w:val="20"/>
          <w:szCs w:val="20"/>
        </w:rPr>
        <w:t>Geriatric intervention reduced in-hospital mortality and resulted in a higher proportion of patients</w:t>
      </w:r>
    </w:p>
    <w:p w:rsidR="00463B44" w:rsidRPr="00463B44" w:rsidRDefault="00463B44" w:rsidP="00463B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proofErr w:type="gramStart"/>
      <w:r w:rsidRPr="00463B44">
        <w:rPr>
          <w:rFonts w:cs="TimesNewRomanPSMT"/>
          <w:sz w:val="20"/>
          <w:szCs w:val="20"/>
        </w:rPr>
        <w:t>receiving</w:t>
      </w:r>
      <w:proofErr w:type="gramEnd"/>
      <w:r w:rsidRPr="00463B44">
        <w:rPr>
          <w:rFonts w:cs="TimesNewRomanPSMT"/>
          <w:sz w:val="20"/>
          <w:szCs w:val="20"/>
        </w:rPr>
        <w:t xml:space="preserve"> surgery. While the small number of patients studied requires caution in interpreting the results, the</w:t>
      </w:r>
    </w:p>
    <w:p w:rsidR="00463B44" w:rsidRPr="00463B44" w:rsidRDefault="00463B44" w:rsidP="00463B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proofErr w:type="gramStart"/>
      <w:r w:rsidRPr="00463B44">
        <w:rPr>
          <w:rFonts w:cs="TimesNewRomanPSMT"/>
          <w:sz w:val="20"/>
          <w:szCs w:val="20"/>
        </w:rPr>
        <w:t>findings</w:t>
      </w:r>
      <w:proofErr w:type="gramEnd"/>
      <w:r w:rsidRPr="00463B44">
        <w:rPr>
          <w:rFonts w:cs="TimesNewRomanPSMT"/>
          <w:sz w:val="20"/>
          <w:szCs w:val="20"/>
        </w:rPr>
        <w:t xml:space="preserve"> are suggestive of the effectiveness and feasibility of such an intervention even where resources are</w:t>
      </w:r>
    </w:p>
    <w:p w:rsidR="00463B44" w:rsidRPr="00463B44" w:rsidRDefault="00463B44" w:rsidP="00463B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proofErr w:type="gramStart"/>
      <w:r w:rsidRPr="00463B44">
        <w:rPr>
          <w:rFonts w:cs="TimesNewRomanPSMT"/>
          <w:sz w:val="20"/>
          <w:szCs w:val="20"/>
        </w:rPr>
        <w:t>relatively</w:t>
      </w:r>
      <w:proofErr w:type="gramEnd"/>
      <w:r w:rsidRPr="00463B44">
        <w:rPr>
          <w:rFonts w:cs="TimesNewRomanPSMT"/>
          <w:sz w:val="20"/>
          <w:szCs w:val="20"/>
        </w:rPr>
        <w:t xml:space="preserve"> scarce.</w:t>
      </w:r>
      <w:bookmarkStart w:id="0" w:name="_GoBack"/>
      <w:bookmarkEnd w:id="0"/>
    </w:p>
    <w:sectPr w:rsidR="00463B44" w:rsidRPr="00463B44" w:rsidSect="001934F1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18" w:space="24" w:color="215868" w:themeColor="accent5" w:themeShade="80"/>
        <w:left w:val="single" w:sz="18" w:space="24" w:color="215868" w:themeColor="accent5" w:themeShade="80"/>
        <w:bottom w:val="single" w:sz="18" w:space="24" w:color="215868" w:themeColor="accent5" w:themeShade="80"/>
        <w:right w:val="single" w:sz="18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05" w:rsidRDefault="00555005" w:rsidP="00CD29B5">
      <w:pPr>
        <w:spacing w:after="0" w:line="240" w:lineRule="auto"/>
      </w:pPr>
      <w:r>
        <w:separator/>
      </w:r>
    </w:p>
  </w:endnote>
  <w:endnote w:type="continuationSeparator" w:id="0">
    <w:p w:rsidR="00555005" w:rsidRDefault="00555005" w:rsidP="00CD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4B" w:rsidRPr="00B00D52" w:rsidRDefault="00052A4B">
    <w:pPr>
      <w:pStyle w:val="Footer"/>
      <w:rPr>
        <w:color w:val="006666"/>
      </w:rPr>
    </w:pPr>
    <w:r w:rsidRPr="00B00D52">
      <w:rPr>
        <w:color w:val="006666"/>
      </w:rPr>
      <w:t>WDGMC Research Day 2014</w:t>
    </w:r>
  </w:p>
  <w:p w:rsidR="00100688" w:rsidRDefault="00100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05" w:rsidRDefault="00555005" w:rsidP="00CD29B5">
      <w:pPr>
        <w:spacing w:after="0" w:line="240" w:lineRule="auto"/>
      </w:pPr>
      <w:r>
        <w:separator/>
      </w:r>
    </w:p>
  </w:footnote>
  <w:footnote w:type="continuationSeparator" w:id="0">
    <w:p w:rsidR="00555005" w:rsidRDefault="00555005" w:rsidP="00CD2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F1"/>
    <w:rsid w:val="00052A4B"/>
    <w:rsid w:val="00100688"/>
    <w:rsid w:val="001934F1"/>
    <w:rsid w:val="00340E19"/>
    <w:rsid w:val="003755C1"/>
    <w:rsid w:val="00401619"/>
    <w:rsid w:val="00463B44"/>
    <w:rsid w:val="004B1D6D"/>
    <w:rsid w:val="004C6F87"/>
    <w:rsid w:val="004D6515"/>
    <w:rsid w:val="00555005"/>
    <w:rsid w:val="005F442E"/>
    <w:rsid w:val="006A3AC5"/>
    <w:rsid w:val="00925863"/>
    <w:rsid w:val="00962EB6"/>
    <w:rsid w:val="00971F27"/>
    <w:rsid w:val="009E36E9"/>
    <w:rsid w:val="009F78A8"/>
    <w:rsid w:val="00B00D52"/>
    <w:rsid w:val="00B07C8C"/>
    <w:rsid w:val="00CD29B5"/>
    <w:rsid w:val="00F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B5"/>
  </w:style>
  <w:style w:type="paragraph" w:styleId="Footer">
    <w:name w:val="footer"/>
    <w:basedOn w:val="Normal"/>
    <w:link w:val="FooterChar"/>
    <w:uiPriority w:val="99"/>
    <w:unhideWhenUsed/>
    <w:rsid w:val="00CD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B5"/>
  </w:style>
  <w:style w:type="paragraph" w:styleId="Footer">
    <w:name w:val="footer"/>
    <w:basedOn w:val="Normal"/>
    <w:link w:val="FooterChar"/>
    <w:uiPriority w:val="99"/>
    <w:unhideWhenUsed/>
    <w:rsid w:val="00CD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0025D.8AB66E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jemmao</dc:creator>
  <cp:lastModifiedBy>June</cp:lastModifiedBy>
  <cp:revision>2</cp:revision>
  <dcterms:created xsi:type="dcterms:W3CDTF">2014-11-19T11:08:00Z</dcterms:created>
  <dcterms:modified xsi:type="dcterms:W3CDTF">2014-11-19T11:08:00Z</dcterms:modified>
</cp:coreProperties>
</file>