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F1" w:rsidRDefault="00B7654C" w:rsidP="001934F1">
      <w:pPr>
        <w:jc w:val="right"/>
        <w:rPr>
          <w:color w:val="31849B" w:themeColor="accent5" w:themeShade="BF"/>
          <w:sz w:val="28"/>
          <w:szCs w:val="28"/>
          <w:u w:val="single"/>
          <w:lang w:val="en-US"/>
        </w:rPr>
      </w:pPr>
      <w:r w:rsidRPr="007E5CE2">
        <w:rPr>
          <w:noProof/>
          <w:color w:val="31849B" w:themeColor="accent5" w:themeShade="BF"/>
          <w:sz w:val="28"/>
          <w:szCs w:val="28"/>
          <w:lang w:eastAsia="en-ZA"/>
        </w:rPr>
        <w:drawing>
          <wp:inline distT="0" distB="0" distL="0" distR="0" wp14:anchorId="270F26BE" wp14:editId="0B4E025F">
            <wp:extent cx="1627632"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27632" cy="847725"/>
                    </a:xfrm>
                    <a:prstGeom prst="rect">
                      <a:avLst/>
                    </a:prstGeom>
                  </pic:spPr>
                </pic:pic>
              </a:graphicData>
            </a:graphic>
          </wp:inline>
        </w:drawing>
      </w:r>
    </w:p>
    <w:p w:rsidR="00BC2811" w:rsidRPr="00E1263E" w:rsidRDefault="00BC2811" w:rsidP="00BC2811">
      <w:pPr>
        <w:rPr>
          <w:b/>
          <w:color w:val="31849B" w:themeColor="accent5" w:themeShade="BF"/>
          <w:lang w:val="en-US"/>
        </w:rPr>
      </w:pPr>
      <w:r>
        <w:rPr>
          <w:b/>
          <w:color w:val="31849B" w:themeColor="accent5" w:themeShade="BF"/>
          <w:lang w:val="en-US"/>
        </w:rPr>
        <w:t>Oral Presentation Abstract: O8</w:t>
      </w:r>
    </w:p>
    <w:p w:rsidR="001934F1" w:rsidRPr="00F34EB7" w:rsidRDefault="001934F1" w:rsidP="003938FA">
      <w:pPr>
        <w:spacing w:after="0"/>
        <w:rPr>
          <w:b/>
          <w:bCs/>
          <w:sz w:val="20"/>
          <w:szCs w:val="20"/>
        </w:rPr>
      </w:pPr>
      <w:r w:rsidRPr="00F34EB7">
        <w:rPr>
          <w:b/>
          <w:color w:val="31849B" w:themeColor="accent5" w:themeShade="BF"/>
          <w:sz w:val="20"/>
          <w:szCs w:val="20"/>
          <w:lang w:val="en-US"/>
        </w:rPr>
        <w:t>Title:</w:t>
      </w:r>
      <w:r w:rsidRPr="00F34EB7">
        <w:rPr>
          <w:b/>
          <w:bCs/>
          <w:sz w:val="20"/>
          <w:szCs w:val="20"/>
        </w:rPr>
        <w:t xml:space="preserve"> </w:t>
      </w:r>
    </w:p>
    <w:p w:rsidR="003938FA" w:rsidRPr="003938FA" w:rsidRDefault="003938FA">
      <w:pPr>
        <w:rPr>
          <w:bCs/>
          <w:sz w:val="20"/>
          <w:szCs w:val="20"/>
        </w:rPr>
      </w:pPr>
      <w:r w:rsidRPr="003938FA">
        <w:rPr>
          <w:bCs/>
          <w:sz w:val="20"/>
          <w:szCs w:val="20"/>
        </w:rPr>
        <w:t>Cognitive Deficits in End Stage Liver Disease</w:t>
      </w:r>
    </w:p>
    <w:p w:rsidR="001934F1" w:rsidRPr="00F34EB7" w:rsidRDefault="001934F1" w:rsidP="003938FA">
      <w:pPr>
        <w:spacing w:after="0"/>
        <w:rPr>
          <w:b/>
          <w:color w:val="31849B" w:themeColor="accent5" w:themeShade="BF"/>
          <w:sz w:val="20"/>
          <w:szCs w:val="20"/>
          <w:lang w:val="en-US"/>
        </w:rPr>
      </w:pPr>
      <w:r w:rsidRPr="00F34EB7">
        <w:rPr>
          <w:b/>
          <w:color w:val="31849B" w:themeColor="accent5" w:themeShade="BF"/>
          <w:sz w:val="20"/>
          <w:szCs w:val="20"/>
          <w:lang w:val="en-US"/>
        </w:rPr>
        <w:t>Author:</w:t>
      </w:r>
    </w:p>
    <w:p w:rsidR="003938FA" w:rsidRPr="003938FA" w:rsidRDefault="003938FA">
      <w:pPr>
        <w:rPr>
          <w:bCs/>
          <w:sz w:val="20"/>
          <w:szCs w:val="20"/>
        </w:rPr>
      </w:pPr>
      <w:r w:rsidRPr="003938FA">
        <w:rPr>
          <w:bCs/>
          <w:sz w:val="20"/>
          <w:szCs w:val="20"/>
        </w:rPr>
        <w:t xml:space="preserve">Tina </w:t>
      </w:r>
      <w:proofErr w:type="spellStart"/>
      <w:r w:rsidRPr="003938FA">
        <w:rPr>
          <w:bCs/>
          <w:sz w:val="20"/>
          <w:szCs w:val="20"/>
        </w:rPr>
        <w:t>Sideris</w:t>
      </w:r>
      <w:proofErr w:type="spellEnd"/>
      <w:r w:rsidRPr="003938FA">
        <w:rPr>
          <w:bCs/>
          <w:sz w:val="20"/>
          <w:szCs w:val="20"/>
        </w:rPr>
        <w:t xml:space="preserve"> </w:t>
      </w:r>
    </w:p>
    <w:p w:rsidR="001934F1" w:rsidRPr="00F34EB7" w:rsidRDefault="001934F1" w:rsidP="003938FA">
      <w:pPr>
        <w:spacing w:after="0"/>
        <w:rPr>
          <w:b/>
          <w:bCs/>
          <w:noProof/>
          <w:color w:val="31849B" w:themeColor="accent5" w:themeShade="BF"/>
          <w:sz w:val="20"/>
          <w:szCs w:val="20"/>
        </w:rPr>
      </w:pPr>
      <w:r w:rsidRPr="00F34EB7">
        <w:rPr>
          <w:b/>
          <w:bCs/>
          <w:noProof/>
          <w:color w:val="31849B" w:themeColor="accent5" w:themeShade="BF"/>
          <w:sz w:val="20"/>
          <w:szCs w:val="20"/>
        </w:rPr>
        <w:t xml:space="preserve">Aim: </w:t>
      </w:r>
    </w:p>
    <w:p w:rsidR="00502C7B" w:rsidRDefault="003938FA" w:rsidP="00502C7B">
      <w:pPr>
        <w:pStyle w:val="Body"/>
        <w:spacing w:after="240"/>
        <w:jc w:val="both"/>
        <w:rPr>
          <w:rFonts w:asciiTheme="minorHAnsi" w:hAnsiTheme="minorHAnsi"/>
          <w:sz w:val="20"/>
          <w:szCs w:val="20"/>
        </w:rPr>
      </w:pPr>
      <w:r w:rsidRPr="003938FA">
        <w:rPr>
          <w:rFonts w:asciiTheme="minorHAnsi" w:hAnsiTheme="minorHAnsi"/>
          <w:sz w:val="20"/>
          <w:szCs w:val="20"/>
        </w:rPr>
        <w:t xml:space="preserve">Cognitive dysfunction is a common complication of end stage liver disease (ESLD). In addition to Hepatic Encephalopathy (HE) research findings identify Minimal Hepatic Encephalopathy (MHE), defined by the absence of clinical signs of HE but with subtle cognitive deficits in visual perception, </w:t>
      </w:r>
      <w:proofErr w:type="spellStart"/>
      <w:r w:rsidRPr="003938FA">
        <w:rPr>
          <w:rFonts w:asciiTheme="minorHAnsi" w:hAnsiTheme="minorHAnsi"/>
          <w:sz w:val="20"/>
          <w:szCs w:val="20"/>
        </w:rPr>
        <w:t>visuo</w:t>
      </w:r>
      <w:proofErr w:type="spellEnd"/>
      <w:r w:rsidRPr="003938FA">
        <w:rPr>
          <w:rFonts w:asciiTheme="minorHAnsi" w:hAnsiTheme="minorHAnsi"/>
          <w:sz w:val="20"/>
          <w:szCs w:val="20"/>
        </w:rPr>
        <w:t>-spatial processing, attention, and with poor executive functioning. Cognitive dysfunction has implications for daily functioning and is prognostic. The study aims to assess the cognitive status of patients with ESLD pre and post organ transplantation in order to identify patients with cognitive dysfunction</w:t>
      </w:r>
      <w:r w:rsidR="00502C7B">
        <w:rPr>
          <w:rFonts w:asciiTheme="minorHAnsi" w:hAnsiTheme="minorHAnsi"/>
          <w:sz w:val="20"/>
          <w:szCs w:val="20"/>
        </w:rPr>
        <w:t xml:space="preserve">. </w:t>
      </w:r>
    </w:p>
    <w:p w:rsidR="001934F1" w:rsidRPr="00502C7B" w:rsidRDefault="001934F1" w:rsidP="00502C7B">
      <w:pPr>
        <w:pStyle w:val="Body"/>
        <w:spacing w:after="240"/>
        <w:jc w:val="both"/>
        <w:rPr>
          <w:rFonts w:asciiTheme="minorHAnsi" w:hAnsiTheme="minorHAnsi"/>
          <w:b/>
          <w:color w:val="31849B" w:themeColor="accent5" w:themeShade="BF"/>
          <w:sz w:val="20"/>
          <w:szCs w:val="20"/>
        </w:rPr>
      </w:pPr>
      <w:r w:rsidRPr="00502C7B">
        <w:rPr>
          <w:rFonts w:asciiTheme="minorHAnsi" w:hAnsiTheme="minorHAnsi"/>
          <w:b/>
          <w:color w:val="31849B" w:themeColor="accent5" w:themeShade="BF"/>
          <w:sz w:val="20"/>
          <w:szCs w:val="20"/>
        </w:rPr>
        <w:t>Objectives:</w:t>
      </w:r>
    </w:p>
    <w:p w:rsidR="00502C7B" w:rsidRDefault="003938FA" w:rsidP="00502C7B">
      <w:pPr>
        <w:pStyle w:val="Body"/>
        <w:spacing w:after="240"/>
        <w:jc w:val="both"/>
        <w:rPr>
          <w:rFonts w:asciiTheme="minorHAnsi" w:hAnsiTheme="minorHAnsi"/>
          <w:sz w:val="20"/>
          <w:szCs w:val="20"/>
        </w:rPr>
      </w:pPr>
      <w:r w:rsidRPr="003938FA">
        <w:rPr>
          <w:rFonts w:asciiTheme="minorHAnsi" w:hAnsiTheme="minorHAnsi"/>
          <w:sz w:val="20"/>
          <w:szCs w:val="20"/>
        </w:rPr>
        <w:t>Conduct neuropsychological assessment of patients with ESLD who are referred for psychological assessment before u</w:t>
      </w:r>
      <w:r>
        <w:rPr>
          <w:rFonts w:asciiTheme="minorHAnsi" w:hAnsiTheme="minorHAnsi"/>
          <w:sz w:val="20"/>
          <w:szCs w:val="20"/>
        </w:rPr>
        <w:t>ndergoing organ transplantation</w:t>
      </w:r>
      <w:r w:rsidR="00502C7B">
        <w:rPr>
          <w:rFonts w:asciiTheme="minorHAnsi" w:hAnsiTheme="minorHAnsi"/>
          <w:sz w:val="20"/>
          <w:szCs w:val="20"/>
        </w:rPr>
        <w:t>.</w:t>
      </w:r>
    </w:p>
    <w:p w:rsidR="00502C7B" w:rsidRPr="00502C7B" w:rsidRDefault="00502C7B" w:rsidP="00502C7B">
      <w:pPr>
        <w:pStyle w:val="Body"/>
        <w:spacing w:after="240"/>
        <w:jc w:val="both"/>
        <w:rPr>
          <w:rFonts w:asciiTheme="minorHAnsi" w:hAnsiTheme="minorHAnsi"/>
          <w:sz w:val="20"/>
          <w:szCs w:val="20"/>
        </w:rPr>
      </w:pPr>
      <w:r>
        <w:rPr>
          <w:rFonts w:asciiTheme="minorHAnsi" w:hAnsiTheme="minorHAnsi"/>
          <w:sz w:val="20"/>
          <w:szCs w:val="20"/>
        </w:rPr>
        <w:t>Repeat neuropsychological assessment of patients who have undergone organ transplantation.</w:t>
      </w:r>
    </w:p>
    <w:p w:rsidR="001934F1" w:rsidRPr="00F34EB7" w:rsidRDefault="001934F1" w:rsidP="003938FA">
      <w:pPr>
        <w:spacing w:after="0"/>
        <w:ind w:right="-714"/>
        <w:jc w:val="both"/>
        <w:rPr>
          <w:b/>
          <w:color w:val="31849B" w:themeColor="accent5" w:themeShade="BF"/>
          <w:sz w:val="20"/>
          <w:szCs w:val="20"/>
          <w:lang w:val="en-US"/>
        </w:rPr>
      </w:pPr>
      <w:r w:rsidRPr="00F34EB7">
        <w:rPr>
          <w:b/>
          <w:color w:val="31849B" w:themeColor="accent5" w:themeShade="BF"/>
          <w:sz w:val="20"/>
          <w:szCs w:val="20"/>
          <w:lang w:val="en-US"/>
        </w:rPr>
        <w:t>Methods:</w:t>
      </w:r>
    </w:p>
    <w:p w:rsidR="003938FA" w:rsidRPr="003938FA" w:rsidRDefault="003938FA" w:rsidP="003938FA">
      <w:pPr>
        <w:pStyle w:val="Body"/>
        <w:jc w:val="both"/>
        <w:rPr>
          <w:rFonts w:asciiTheme="minorHAnsi" w:eastAsia="Trebuchet MS" w:hAnsiTheme="minorHAnsi" w:cs="Trebuchet MS"/>
          <w:sz w:val="20"/>
          <w:szCs w:val="20"/>
        </w:rPr>
      </w:pPr>
      <w:r w:rsidRPr="003938FA">
        <w:rPr>
          <w:rFonts w:asciiTheme="minorHAnsi" w:hAnsiTheme="minorHAnsi"/>
          <w:sz w:val="20"/>
          <w:szCs w:val="20"/>
        </w:rPr>
        <w:t xml:space="preserve">As part of standard clinical practice patients who are candidates for organ transplantation at the Wits Donald Gordon Medical Centre are referred for psychological assessment. Data was retrieved from patient records in a single psychology practice from Sep 2011 to Nov 2013. Psychological assessment includes a clinical interview and neuropsychological assessment. The clinical interview covers biographical background and current circumstances; educational and occupational history; lifestyle and habits; medical history; psychiatric and neuropsychiatric history; coping style and </w:t>
      </w:r>
      <w:proofErr w:type="spellStart"/>
      <w:r w:rsidRPr="003938FA">
        <w:rPr>
          <w:rFonts w:asciiTheme="minorHAnsi" w:hAnsiTheme="minorHAnsi"/>
          <w:sz w:val="20"/>
          <w:szCs w:val="20"/>
        </w:rPr>
        <w:t>defences</w:t>
      </w:r>
      <w:proofErr w:type="spellEnd"/>
      <w:r w:rsidRPr="003938FA">
        <w:rPr>
          <w:rFonts w:asciiTheme="minorHAnsi" w:hAnsiTheme="minorHAnsi"/>
          <w:sz w:val="20"/>
          <w:szCs w:val="20"/>
        </w:rPr>
        <w:t>, motivation for treatment, fears and anxieties.     </w:t>
      </w:r>
    </w:p>
    <w:p w:rsidR="003938FA" w:rsidRPr="003938FA" w:rsidRDefault="003938FA" w:rsidP="003938FA">
      <w:pPr>
        <w:pStyle w:val="Body"/>
        <w:jc w:val="both"/>
        <w:rPr>
          <w:rFonts w:asciiTheme="minorHAnsi" w:eastAsia="Trebuchet MS" w:hAnsiTheme="minorHAnsi" w:cs="Trebuchet MS"/>
          <w:sz w:val="20"/>
          <w:szCs w:val="20"/>
        </w:rPr>
      </w:pPr>
    </w:p>
    <w:p w:rsidR="001934F1" w:rsidRPr="003938FA" w:rsidRDefault="003938FA" w:rsidP="003938FA">
      <w:pPr>
        <w:rPr>
          <w:bCs/>
          <w:noProof/>
          <w:sz w:val="20"/>
          <w:szCs w:val="20"/>
        </w:rPr>
      </w:pPr>
      <w:r w:rsidRPr="003938FA">
        <w:rPr>
          <w:sz w:val="20"/>
          <w:szCs w:val="20"/>
        </w:rPr>
        <w:t>The neuropsychological assessment was done using t</w:t>
      </w:r>
      <w:r w:rsidRPr="003938FA">
        <w:rPr>
          <w:iCs/>
          <w:sz w:val="20"/>
          <w:szCs w:val="20"/>
        </w:rPr>
        <w:t>he Repeatable Battery for the Assessment of Neuropsychological Status (RBANS)</w:t>
      </w:r>
      <w:r w:rsidRPr="003938FA">
        <w:rPr>
          <w:sz w:val="20"/>
          <w:szCs w:val="20"/>
        </w:rPr>
        <w:t>, t</w:t>
      </w:r>
      <w:r w:rsidRPr="003938FA">
        <w:rPr>
          <w:iCs/>
          <w:sz w:val="20"/>
          <w:szCs w:val="20"/>
        </w:rPr>
        <w:t>he Composite Trail Making Test (CTMT</w:t>
      </w:r>
      <w:r w:rsidRPr="003938FA">
        <w:rPr>
          <w:sz w:val="20"/>
          <w:szCs w:val="20"/>
        </w:rPr>
        <w:t xml:space="preserve">) and the </w:t>
      </w:r>
      <w:proofErr w:type="spellStart"/>
      <w:r w:rsidRPr="003938FA">
        <w:rPr>
          <w:iCs/>
          <w:sz w:val="20"/>
          <w:szCs w:val="20"/>
        </w:rPr>
        <w:t>Stroop</w:t>
      </w:r>
      <w:proofErr w:type="spellEnd"/>
      <w:r w:rsidRPr="003938FA">
        <w:rPr>
          <w:iCs/>
          <w:sz w:val="20"/>
          <w:szCs w:val="20"/>
        </w:rPr>
        <w:t xml:space="preserve"> Colour Word Test</w:t>
      </w:r>
      <w:r w:rsidRPr="003938FA">
        <w:rPr>
          <w:sz w:val="20"/>
          <w:szCs w:val="20"/>
        </w:rPr>
        <w:t>.</w:t>
      </w:r>
    </w:p>
    <w:p w:rsidR="001934F1" w:rsidRPr="00F34EB7" w:rsidRDefault="001934F1" w:rsidP="003938FA">
      <w:pPr>
        <w:spacing w:after="0"/>
        <w:rPr>
          <w:b/>
          <w:color w:val="31849B" w:themeColor="accent5" w:themeShade="BF"/>
          <w:sz w:val="20"/>
          <w:szCs w:val="20"/>
          <w:lang w:val="en-US"/>
        </w:rPr>
      </w:pPr>
      <w:r w:rsidRPr="00F34EB7">
        <w:rPr>
          <w:b/>
          <w:color w:val="31849B" w:themeColor="accent5" w:themeShade="BF"/>
          <w:sz w:val="20"/>
          <w:szCs w:val="20"/>
          <w:lang w:val="en-US"/>
        </w:rPr>
        <w:t>Results:</w:t>
      </w:r>
    </w:p>
    <w:p w:rsidR="003938FA" w:rsidRDefault="003938FA" w:rsidP="001934F1">
      <w:pPr>
        <w:rPr>
          <w:sz w:val="20"/>
          <w:szCs w:val="20"/>
        </w:rPr>
      </w:pPr>
      <w:r w:rsidRPr="003938FA">
        <w:rPr>
          <w:sz w:val="20"/>
          <w:szCs w:val="20"/>
        </w:rPr>
        <w:t xml:space="preserve">Of the 93 patients assessed 61% Male, the mean age was 50 years, the mean years of education was 12.8 years. 40%-50% of patients assessed show cognitive deficits consistent with MHE with deficits in </w:t>
      </w:r>
      <w:proofErr w:type="spellStart"/>
      <w:r w:rsidRPr="003938FA">
        <w:rPr>
          <w:sz w:val="20"/>
          <w:szCs w:val="20"/>
        </w:rPr>
        <w:t>visuo</w:t>
      </w:r>
      <w:proofErr w:type="spellEnd"/>
      <w:r w:rsidRPr="003938FA">
        <w:rPr>
          <w:sz w:val="20"/>
          <w:szCs w:val="20"/>
        </w:rPr>
        <w:t xml:space="preserve"> spatial processing, attention, working memory and slow psychomotor speed. Language and delayed memory was relatively preserved. </w:t>
      </w:r>
      <w:proofErr w:type="gramStart"/>
      <w:r w:rsidRPr="003938FA">
        <w:rPr>
          <w:sz w:val="20"/>
          <w:szCs w:val="20"/>
        </w:rPr>
        <w:t>Some of the patien</w:t>
      </w:r>
      <w:r w:rsidR="00502C7B">
        <w:rPr>
          <w:sz w:val="20"/>
          <w:szCs w:val="20"/>
        </w:rPr>
        <w:t>ts with Alcoholic Liver Disease</w:t>
      </w:r>
      <w:r w:rsidRPr="003938FA">
        <w:rPr>
          <w:sz w:val="20"/>
          <w:szCs w:val="20"/>
        </w:rPr>
        <w:t xml:space="preserve"> show language and memory deficits</w:t>
      </w:r>
      <w:r w:rsidR="00502C7B">
        <w:rPr>
          <w:sz w:val="20"/>
          <w:szCs w:val="20"/>
        </w:rPr>
        <w:t>.</w:t>
      </w:r>
      <w:proofErr w:type="gramEnd"/>
      <w:r w:rsidR="00502C7B">
        <w:rPr>
          <w:sz w:val="20"/>
          <w:szCs w:val="20"/>
        </w:rPr>
        <w:t xml:space="preserve"> </w:t>
      </w:r>
    </w:p>
    <w:p w:rsidR="001934F1" w:rsidRPr="00F34EB7" w:rsidRDefault="001934F1" w:rsidP="003938FA">
      <w:pPr>
        <w:spacing w:after="0"/>
        <w:rPr>
          <w:b/>
          <w:color w:val="31849B" w:themeColor="accent5" w:themeShade="BF"/>
          <w:sz w:val="20"/>
          <w:szCs w:val="20"/>
          <w:lang w:val="en-US"/>
        </w:rPr>
      </w:pPr>
      <w:r w:rsidRPr="003938FA">
        <w:rPr>
          <w:b/>
          <w:color w:val="31849B" w:themeColor="accent5" w:themeShade="BF"/>
          <w:sz w:val="20"/>
          <w:szCs w:val="20"/>
          <w:lang w:val="en-US"/>
        </w:rPr>
        <w:t>Conclusion</w:t>
      </w:r>
      <w:r w:rsidRPr="00F34EB7">
        <w:rPr>
          <w:b/>
          <w:color w:val="31849B" w:themeColor="accent5" w:themeShade="BF"/>
          <w:sz w:val="20"/>
          <w:szCs w:val="20"/>
          <w:lang w:val="en-US"/>
        </w:rPr>
        <w:t>:</w:t>
      </w:r>
    </w:p>
    <w:p w:rsidR="003938FA" w:rsidRPr="003938FA" w:rsidRDefault="003938FA" w:rsidP="003938FA">
      <w:pPr>
        <w:pStyle w:val="Body"/>
        <w:jc w:val="both"/>
        <w:rPr>
          <w:rFonts w:asciiTheme="minorHAnsi" w:hAnsiTheme="minorHAnsi"/>
          <w:sz w:val="20"/>
          <w:szCs w:val="20"/>
        </w:rPr>
      </w:pPr>
      <w:r w:rsidRPr="003938FA">
        <w:rPr>
          <w:rFonts w:asciiTheme="minorHAnsi" w:hAnsiTheme="minorHAnsi"/>
          <w:sz w:val="20"/>
          <w:szCs w:val="20"/>
        </w:rPr>
        <w:t>The results are consistent with international findings in this group of patients.      </w:t>
      </w:r>
    </w:p>
    <w:p w:rsidR="001934F1" w:rsidRPr="00F34EB7" w:rsidRDefault="001934F1" w:rsidP="003938FA">
      <w:pPr>
        <w:rPr>
          <w:b/>
          <w:color w:val="31849B" w:themeColor="accent5" w:themeShade="BF"/>
          <w:sz w:val="20"/>
          <w:szCs w:val="20"/>
          <w:lang w:val="en-US"/>
        </w:rPr>
      </w:pPr>
      <w:bookmarkStart w:id="0" w:name="_GoBack"/>
      <w:bookmarkEnd w:id="0"/>
    </w:p>
    <w:sectPr w:rsidR="001934F1" w:rsidRPr="00F34EB7" w:rsidSect="001934F1">
      <w:footerReference w:type="default" r:id="rId9"/>
      <w:pgSz w:w="11906" w:h="16838"/>
      <w:pgMar w:top="1440" w:right="1440" w:bottom="1440" w:left="1440" w:header="708" w:footer="708" w:gutter="0"/>
      <w:pgBorders w:offsetFrom="page">
        <w:top w:val="single" w:sz="18" w:space="24" w:color="215868" w:themeColor="accent5" w:themeShade="80"/>
        <w:left w:val="single" w:sz="18" w:space="24" w:color="215868" w:themeColor="accent5" w:themeShade="80"/>
        <w:bottom w:val="single" w:sz="18" w:space="24" w:color="215868" w:themeColor="accent5" w:themeShade="80"/>
        <w:right w:val="single" w:sz="18"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3E" w:rsidRDefault="00AD163E" w:rsidP="000F0306">
      <w:pPr>
        <w:spacing w:after="0" w:line="240" w:lineRule="auto"/>
      </w:pPr>
      <w:r>
        <w:separator/>
      </w:r>
    </w:p>
  </w:endnote>
  <w:endnote w:type="continuationSeparator" w:id="0">
    <w:p w:rsidR="00AD163E" w:rsidRDefault="00AD163E" w:rsidP="000F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06" w:rsidRPr="000F0306" w:rsidRDefault="000F0306">
    <w:pPr>
      <w:pStyle w:val="Footer"/>
      <w:rPr>
        <w:color w:val="006666"/>
      </w:rPr>
    </w:pPr>
    <w:r w:rsidRPr="000F0306">
      <w:rPr>
        <w:color w:val="006666"/>
      </w:rPr>
      <w:t>WDGMC Research Day 2014</w:t>
    </w:r>
  </w:p>
  <w:p w:rsidR="000F0306" w:rsidRDefault="000F0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3E" w:rsidRDefault="00AD163E" w:rsidP="000F0306">
      <w:pPr>
        <w:spacing w:after="0" w:line="240" w:lineRule="auto"/>
      </w:pPr>
      <w:r>
        <w:separator/>
      </w:r>
    </w:p>
  </w:footnote>
  <w:footnote w:type="continuationSeparator" w:id="0">
    <w:p w:rsidR="00AD163E" w:rsidRDefault="00AD163E" w:rsidP="000F0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868D6"/>
    <w:multiLevelType w:val="hybridMultilevel"/>
    <w:tmpl w:val="69A08D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6D44224"/>
    <w:multiLevelType w:val="multilevel"/>
    <w:tmpl w:val="4A006DD0"/>
    <w:lvl w:ilvl="0">
      <w:numFmt w:val="bullet"/>
      <w:lvlText w:val="•"/>
      <w:lvlJc w:val="left"/>
      <w:pPr>
        <w:ind w:left="0" w:firstLine="0"/>
      </w:pPr>
      <w:rPr>
        <w:rFonts w:ascii="Trebuchet MS" w:eastAsia="Trebuchet MS" w:hAnsi="Trebuchet MS" w:cs="Trebuchet MS"/>
        <w:position w:val="-2"/>
        <w:lang w:val="en-US"/>
      </w:rPr>
    </w:lvl>
    <w:lvl w:ilvl="1">
      <w:start w:val="1"/>
      <w:numFmt w:val="bullet"/>
      <w:lvlText w:val="•"/>
      <w:lvlJc w:val="left"/>
      <w:pPr>
        <w:ind w:left="0" w:firstLine="0"/>
      </w:pPr>
      <w:rPr>
        <w:rFonts w:ascii="Trebuchet MS" w:eastAsia="Trebuchet MS" w:hAnsi="Trebuchet MS" w:cs="Trebuchet MS"/>
        <w:position w:val="-2"/>
        <w:lang w:val="en-US"/>
      </w:rPr>
    </w:lvl>
    <w:lvl w:ilvl="2">
      <w:start w:val="1"/>
      <w:numFmt w:val="bullet"/>
      <w:lvlText w:val="•"/>
      <w:lvlJc w:val="left"/>
      <w:pPr>
        <w:ind w:left="0" w:firstLine="0"/>
      </w:pPr>
      <w:rPr>
        <w:rFonts w:ascii="Trebuchet MS" w:eastAsia="Trebuchet MS" w:hAnsi="Trebuchet MS" w:cs="Trebuchet MS"/>
        <w:position w:val="-2"/>
        <w:lang w:val="en-US"/>
      </w:rPr>
    </w:lvl>
    <w:lvl w:ilvl="3">
      <w:start w:val="1"/>
      <w:numFmt w:val="bullet"/>
      <w:lvlText w:val="•"/>
      <w:lvlJc w:val="left"/>
      <w:pPr>
        <w:ind w:left="0" w:firstLine="0"/>
      </w:pPr>
      <w:rPr>
        <w:rFonts w:ascii="Trebuchet MS" w:eastAsia="Trebuchet MS" w:hAnsi="Trebuchet MS" w:cs="Trebuchet MS"/>
        <w:position w:val="-2"/>
        <w:lang w:val="en-US"/>
      </w:rPr>
    </w:lvl>
    <w:lvl w:ilvl="4">
      <w:start w:val="1"/>
      <w:numFmt w:val="bullet"/>
      <w:lvlText w:val="•"/>
      <w:lvlJc w:val="left"/>
      <w:pPr>
        <w:ind w:left="0" w:firstLine="0"/>
      </w:pPr>
      <w:rPr>
        <w:rFonts w:ascii="Trebuchet MS" w:eastAsia="Trebuchet MS" w:hAnsi="Trebuchet MS" w:cs="Trebuchet MS"/>
        <w:position w:val="-2"/>
        <w:lang w:val="en-US"/>
      </w:rPr>
    </w:lvl>
    <w:lvl w:ilvl="5">
      <w:start w:val="1"/>
      <w:numFmt w:val="bullet"/>
      <w:lvlText w:val="•"/>
      <w:lvlJc w:val="left"/>
      <w:pPr>
        <w:ind w:left="0" w:firstLine="0"/>
      </w:pPr>
      <w:rPr>
        <w:rFonts w:ascii="Trebuchet MS" w:eastAsia="Trebuchet MS" w:hAnsi="Trebuchet MS" w:cs="Trebuchet MS"/>
        <w:position w:val="-2"/>
        <w:lang w:val="en-US"/>
      </w:rPr>
    </w:lvl>
    <w:lvl w:ilvl="6">
      <w:start w:val="1"/>
      <w:numFmt w:val="bullet"/>
      <w:lvlText w:val="•"/>
      <w:lvlJc w:val="left"/>
      <w:pPr>
        <w:ind w:left="0" w:firstLine="0"/>
      </w:pPr>
      <w:rPr>
        <w:rFonts w:ascii="Trebuchet MS" w:eastAsia="Trebuchet MS" w:hAnsi="Trebuchet MS" w:cs="Trebuchet MS"/>
        <w:position w:val="-2"/>
        <w:lang w:val="en-US"/>
      </w:rPr>
    </w:lvl>
    <w:lvl w:ilvl="7">
      <w:start w:val="1"/>
      <w:numFmt w:val="bullet"/>
      <w:lvlText w:val="•"/>
      <w:lvlJc w:val="left"/>
      <w:pPr>
        <w:ind w:left="0" w:firstLine="0"/>
      </w:pPr>
      <w:rPr>
        <w:rFonts w:ascii="Trebuchet MS" w:eastAsia="Trebuchet MS" w:hAnsi="Trebuchet MS" w:cs="Trebuchet MS"/>
        <w:position w:val="-2"/>
        <w:lang w:val="en-US"/>
      </w:rPr>
    </w:lvl>
    <w:lvl w:ilvl="8">
      <w:start w:val="1"/>
      <w:numFmt w:val="bullet"/>
      <w:lvlText w:val="•"/>
      <w:lvlJc w:val="left"/>
      <w:pPr>
        <w:ind w:left="0" w:firstLine="0"/>
      </w:pPr>
      <w:rPr>
        <w:rFonts w:ascii="Trebuchet MS" w:eastAsia="Trebuchet MS" w:hAnsi="Trebuchet MS" w:cs="Trebuchet MS"/>
        <w:position w:val="-2"/>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F1"/>
    <w:rsid w:val="000A1F7D"/>
    <w:rsid w:val="000F0306"/>
    <w:rsid w:val="001934F1"/>
    <w:rsid w:val="00354883"/>
    <w:rsid w:val="003938FA"/>
    <w:rsid w:val="004D10A4"/>
    <w:rsid w:val="00502C7B"/>
    <w:rsid w:val="006A3AC5"/>
    <w:rsid w:val="00940932"/>
    <w:rsid w:val="00971F27"/>
    <w:rsid w:val="00AD163E"/>
    <w:rsid w:val="00B7654C"/>
    <w:rsid w:val="00BC2811"/>
    <w:rsid w:val="00C627F2"/>
    <w:rsid w:val="00D43A00"/>
    <w:rsid w:val="00F34EB7"/>
    <w:rsid w:val="00F554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0F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306"/>
  </w:style>
  <w:style w:type="paragraph" w:styleId="Footer">
    <w:name w:val="footer"/>
    <w:basedOn w:val="Normal"/>
    <w:link w:val="FooterChar"/>
    <w:uiPriority w:val="99"/>
    <w:unhideWhenUsed/>
    <w:rsid w:val="000F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306"/>
  </w:style>
  <w:style w:type="paragraph" w:customStyle="1" w:styleId="Body">
    <w:name w:val="Body"/>
    <w:rsid w:val="003938FA"/>
    <w:pPr>
      <w:spacing w:after="0" w:line="240" w:lineRule="auto"/>
    </w:pPr>
    <w:rPr>
      <w:rFonts w:ascii="Times New Roman" w:eastAsia="Arial Unicode MS" w:hAnsi="Arial Unicode MS" w:cs="Arial Unicode MS"/>
      <w:color w:val="000000"/>
      <w:sz w:val="24"/>
      <w:szCs w:val="24"/>
      <w:u w:color="000000"/>
      <w:lang w:val="en-US"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F1"/>
    <w:rPr>
      <w:rFonts w:ascii="Tahoma" w:hAnsi="Tahoma" w:cs="Tahoma"/>
      <w:sz w:val="16"/>
      <w:szCs w:val="16"/>
    </w:rPr>
  </w:style>
  <w:style w:type="paragraph" w:styleId="Header">
    <w:name w:val="header"/>
    <w:basedOn w:val="Normal"/>
    <w:link w:val="HeaderChar"/>
    <w:uiPriority w:val="99"/>
    <w:unhideWhenUsed/>
    <w:rsid w:val="000F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306"/>
  </w:style>
  <w:style w:type="paragraph" w:styleId="Footer">
    <w:name w:val="footer"/>
    <w:basedOn w:val="Normal"/>
    <w:link w:val="FooterChar"/>
    <w:uiPriority w:val="99"/>
    <w:unhideWhenUsed/>
    <w:rsid w:val="000F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306"/>
  </w:style>
  <w:style w:type="paragraph" w:customStyle="1" w:styleId="Body">
    <w:name w:val="Body"/>
    <w:rsid w:val="003938FA"/>
    <w:pPr>
      <w:spacing w:after="0" w:line="240" w:lineRule="auto"/>
    </w:pPr>
    <w:rPr>
      <w:rFonts w:ascii="Times New Roman" w:eastAsia="Arial Unicode MS" w:hAnsi="Arial Unicode MS" w:cs="Arial Unicode MS"/>
      <w:color w:val="000000"/>
      <w:sz w:val="24"/>
      <w:szCs w:val="24"/>
      <w:u w:color="000000"/>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43768">
      <w:bodyDiv w:val="1"/>
      <w:marLeft w:val="0"/>
      <w:marRight w:val="0"/>
      <w:marTop w:val="0"/>
      <w:marBottom w:val="0"/>
      <w:divBdr>
        <w:top w:val="none" w:sz="0" w:space="0" w:color="auto"/>
        <w:left w:val="none" w:sz="0" w:space="0" w:color="auto"/>
        <w:bottom w:val="none" w:sz="0" w:space="0" w:color="auto"/>
        <w:right w:val="none" w:sz="0" w:space="0" w:color="auto"/>
      </w:divBdr>
    </w:div>
    <w:div w:id="8512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jemmao</dc:creator>
  <cp:lastModifiedBy>June</cp:lastModifiedBy>
  <cp:revision>4</cp:revision>
  <cp:lastPrinted>2014-11-20T10:05:00Z</cp:lastPrinted>
  <dcterms:created xsi:type="dcterms:W3CDTF">2014-11-20T10:06:00Z</dcterms:created>
  <dcterms:modified xsi:type="dcterms:W3CDTF">2014-11-20T11:16:00Z</dcterms:modified>
</cp:coreProperties>
</file>